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BA606" w14:textId="1DE808B9" w:rsidR="00600839" w:rsidRDefault="774DFC90" w:rsidP="00600839">
      <w:r>
        <w:rPr>
          <w:noProof/>
        </w:rPr>
        <w:drawing>
          <wp:inline distT="0" distB="0" distL="0" distR="0" wp14:anchorId="56D54D5F" wp14:editId="616A864F">
            <wp:extent cx="4396229" cy="888404"/>
            <wp:effectExtent l="0" t="0" r="0" b="0"/>
            <wp:docPr id="1258879144" name="Picture 125887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396229" cy="888404"/>
                    </a:xfrm>
                    <a:prstGeom prst="rect">
                      <a:avLst/>
                    </a:prstGeom>
                  </pic:spPr>
                </pic:pic>
              </a:graphicData>
            </a:graphic>
          </wp:inline>
        </w:drawing>
      </w:r>
      <w:r>
        <w:rPr>
          <w:noProof/>
        </w:rPr>
        <w:drawing>
          <wp:inline distT="0" distB="0" distL="0" distR="0" wp14:anchorId="2B48777E" wp14:editId="1096DEDB">
            <wp:extent cx="1276350" cy="1352550"/>
            <wp:effectExtent l="0" t="0" r="0" b="0"/>
            <wp:docPr id="2084966068" name="Picture 20849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76350" cy="1352550"/>
                    </a:xfrm>
                    <a:prstGeom prst="rect">
                      <a:avLst/>
                    </a:prstGeom>
                  </pic:spPr>
                </pic:pic>
              </a:graphicData>
            </a:graphic>
          </wp:inline>
        </w:drawing>
      </w:r>
      <w:r w:rsidR="00C02B89">
        <w:br/>
      </w:r>
      <w:r w:rsidR="00C02B89">
        <w:br/>
      </w:r>
    </w:p>
    <w:p w14:paraId="79855CF5" w14:textId="77777777" w:rsidR="00600839" w:rsidRDefault="00600839" w:rsidP="00600839"/>
    <w:p w14:paraId="0C4C1FEA" w14:textId="5D08896A" w:rsidR="00600839" w:rsidRPr="00E913A6" w:rsidRDefault="00600839" w:rsidP="00600839">
      <w:pPr>
        <w:spacing w:after="160" w:line="259" w:lineRule="auto"/>
        <w:jc w:val="center"/>
        <w:rPr>
          <w:b/>
          <w:bCs/>
          <w:color w:val="FF0000"/>
          <w:sz w:val="56"/>
          <w:szCs w:val="56"/>
        </w:rPr>
      </w:pPr>
      <w:r w:rsidRPr="00DD74A5">
        <w:rPr>
          <w:b/>
          <w:bCs/>
          <w:color w:val="FF0000"/>
          <w:sz w:val="56"/>
          <w:szCs w:val="56"/>
        </w:rPr>
        <w:t>EMBARGOED UNTIL</w:t>
      </w:r>
      <w:r>
        <w:rPr>
          <w:b/>
          <w:bCs/>
          <w:color w:val="FF0000"/>
          <w:sz w:val="56"/>
          <w:szCs w:val="56"/>
        </w:rPr>
        <w:t xml:space="preserve"> </w:t>
      </w:r>
      <w:r w:rsidR="1272BA21" w:rsidRPr="52115E83">
        <w:rPr>
          <w:b/>
          <w:bCs/>
          <w:color w:val="FF0000"/>
          <w:sz w:val="56"/>
          <w:szCs w:val="56"/>
        </w:rPr>
        <w:t>7</w:t>
      </w:r>
      <w:r w:rsidRPr="52115E83">
        <w:rPr>
          <w:b/>
          <w:bCs/>
          <w:color w:val="FF0000"/>
          <w:sz w:val="56"/>
          <w:szCs w:val="56"/>
        </w:rPr>
        <w:t>AM</w:t>
      </w:r>
      <w:r w:rsidRPr="00DD74A5">
        <w:rPr>
          <w:b/>
          <w:bCs/>
          <w:color w:val="FF0000"/>
          <w:sz w:val="56"/>
          <w:szCs w:val="56"/>
        </w:rPr>
        <w:t xml:space="preserve"> </w:t>
      </w:r>
      <w:r w:rsidR="005F1098">
        <w:rPr>
          <w:b/>
          <w:bCs/>
          <w:color w:val="FF0000"/>
          <w:sz w:val="56"/>
          <w:szCs w:val="56"/>
        </w:rPr>
        <w:t>15</w:t>
      </w:r>
      <w:r w:rsidR="00A24324">
        <w:rPr>
          <w:b/>
          <w:bCs/>
          <w:color w:val="FF0000"/>
          <w:sz w:val="56"/>
          <w:szCs w:val="56"/>
        </w:rPr>
        <w:t xml:space="preserve"> </w:t>
      </w:r>
      <w:r w:rsidR="005F1098">
        <w:rPr>
          <w:b/>
          <w:bCs/>
          <w:color w:val="FF0000"/>
          <w:sz w:val="56"/>
          <w:szCs w:val="56"/>
        </w:rPr>
        <w:t xml:space="preserve">NOVEMBER </w:t>
      </w:r>
      <w:r>
        <w:rPr>
          <w:b/>
          <w:bCs/>
          <w:color w:val="FF0000"/>
          <w:sz w:val="56"/>
          <w:szCs w:val="56"/>
        </w:rPr>
        <w:t>202</w:t>
      </w:r>
      <w:r w:rsidR="00E92508">
        <w:rPr>
          <w:b/>
          <w:bCs/>
          <w:color w:val="FF0000"/>
          <w:sz w:val="56"/>
          <w:szCs w:val="56"/>
        </w:rPr>
        <w:t>4</w:t>
      </w:r>
    </w:p>
    <w:p w14:paraId="76F5C23E" w14:textId="28DF6FD7" w:rsidR="006633D8" w:rsidRDefault="001A1740" w:rsidP="2CBF452C">
      <w:pPr>
        <w:jc w:val="center"/>
        <w:rPr>
          <w:b/>
          <w:bCs/>
          <w:sz w:val="32"/>
          <w:szCs w:val="32"/>
        </w:rPr>
      </w:pPr>
      <w:r>
        <w:rPr>
          <w:b/>
          <w:bCs/>
          <w:sz w:val="32"/>
          <w:szCs w:val="32"/>
        </w:rPr>
        <w:t>A</w:t>
      </w:r>
      <w:r w:rsidR="00251279" w:rsidRPr="2CBF452C">
        <w:rPr>
          <w:b/>
          <w:bCs/>
          <w:sz w:val="32"/>
          <w:szCs w:val="32"/>
        </w:rPr>
        <w:t>dvised</w:t>
      </w:r>
      <w:r w:rsidR="001D76B9">
        <w:rPr>
          <w:b/>
          <w:bCs/>
          <w:sz w:val="32"/>
          <w:szCs w:val="32"/>
        </w:rPr>
        <w:t xml:space="preserve"> platform </w:t>
      </w:r>
      <w:r w:rsidR="00DE2AE1">
        <w:rPr>
          <w:b/>
          <w:bCs/>
          <w:sz w:val="32"/>
          <w:szCs w:val="32"/>
        </w:rPr>
        <w:t xml:space="preserve">outflows fall </w:t>
      </w:r>
      <w:r w:rsidR="004C3F48">
        <w:rPr>
          <w:b/>
          <w:bCs/>
          <w:sz w:val="32"/>
          <w:szCs w:val="32"/>
        </w:rPr>
        <w:t>after two years of increases</w:t>
      </w:r>
    </w:p>
    <w:p w14:paraId="735D0EB5" w14:textId="77777777" w:rsidR="005C041A" w:rsidRDefault="005C041A" w:rsidP="00BF2D8F">
      <w:pPr>
        <w:rPr>
          <w:b/>
          <w:bCs/>
          <w:sz w:val="32"/>
          <w:szCs w:val="32"/>
        </w:rPr>
      </w:pPr>
    </w:p>
    <w:p w14:paraId="4210A7FB" w14:textId="3FD51488" w:rsidR="005C041A" w:rsidRPr="00192A43" w:rsidRDefault="005C041A" w:rsidP="005C041A">
      <w:pPr>
        <w:pStyle w:val="ListParagraph"/>
        <w:numPr>
          <w:ilvl w:val="0"/>
          <w:numId w:val="3"/>
        </w:numPr>
        <w:rPr>
          <w:rFonts w:ascii="Poppins" w:hAnsi="Poppins" w:cs="Poppins"/>
          <w:i/>
          <w:color w:val="3B3838" w:themeColor="background2" w:themeShade="40"/>
        </w:rPr>
      </w:pPr>
      <w:r w:rsidRPr="00192A43">
        <w:rPr>
          <w:rFonts w:ascii="Poppins" w:hAnsi="Poppins" w:cs="Poppins"/>
          <w:i/>
          <w:color w:val="3B3838" w:themeColor="background2" w:themeShade="40"/>
        </w:rPr>
        <w:t xml:space="preserve">Advised platform </w:t>
      </w:r>
      <w:r w:rsidR="00E941F5" w:rsidRPr="00192A43">
        <w:rPr>
          <w:rFonts w:ascii="Poppins" w:hAnsi="Poppins" w:cs="Poppins"/>
          <w:i/>
          <w:color w:val="3B3838" w:themeColor="background2" w:themeShade="40"/>
        </w:rPr>
        <w:t xml:space="preserve">quarterly </w:t>
      </w:r>
      <w:r w:rsidRPr="00192A43">
        <w:rPr>
          <w:rFonts w:ascii="Poppins" w:hAnsi="Poppins" w:cs="Poppins"/>
          <w:i/>
          <w:color w:val="3B3838" w:themeColor="background2" w:themeShade="40"/>
        </w:rPr>
        <w:t xml:space="preserve">asset growth of </w:t>
      </w:r>
      <w:r w:rsidR="008F7EC5" w:rsidRPr="00192A43">
        <w:rPr>
          <w:rFonts w:ascii="Poppins" w:hAnsi="Poppins" w:cs="Poppins"/>
          <w:i/>
          <w:color w:val="3B3838" w:themeColor="background2" w:themeShade="40"/>
        </w:rPr>
        <w:t>1.87</w:t>
      </w:r>
      <w:r w:rsidRPr="00192A43">
        <w:rPr>
          <w:rFonts w:ascii="Poppins" w:hAnsi="Poppins" w:cs="Poppins"/>
          <w:i/>
          <w:color w:val="3B3838" w:themeColor="background2" w:themeShade="40"/>
        </w:rPr>
        <w:t xml:space="preserve">% </w:t>
      </w:r>
    </w:p>
    <w:p w14:paraId="3ED8216D" w14:textId="0B25C20D" w:rsidR="005C041A" w:rsidRPr="00276A90" w:rsidRDefault="005C041A" w:rsidP="08ADB821">
      <w:pPr>
        <w:numPr>
          <w:ilvl w:val="0"/>
          <w:numId w:val="3"/>
        </w:numPr>
        <w:rPr>
          <w:rFonts w:ascii="Poppins" w:hAnsi="Poppins" w:cs="Poppins"/>
          <w:i/>
          <w:iCs/>
          <w:color w:val="3B3838" w:themeColor="background2" w:themeShade="40"/>
        </w:rPr>
      </w:pPr>
      <w:r w:rsidRPr="08ADB821">
        <w:rPr>
          <w:rFonts w:ascii="Poppins" w:hAnsi="Poppins" w:cs="Poppins"/>
          <w:i/>
          <w:iCs/>
          <w:color w:val="3B3838" w:themeColor="background2" w:themeShade="40"/>
        </w:rPr>
        <w:t xml:space="preserve">Advised platform outflows are </w:t>
      </w:r>
      <w:r w:rsidR="00D57820" w:rsidRPr="08ADB821">
        <w:rPr>
          <w:rFonts w:ascii="Poppins" w:hAnsi="Poppins" w:cs="Poppins"/>
          <w:i/>
          <w:iCs/>
          <w:color w:val="3B3838" w:themeColor="background2" w:themeShade="40"/>
        </w:rPr>
        <w:t>down</w:t>
      </w:r>
      <w:r w:rsidRPr="08ADB821">
        <w:rPr>
          <w:rFonts w:ascii="Poppins" w:hAnsi="Poppins" w:cs="Poppins"/>
          <w:i/>
          <w:iCs/>
          <w:color w:val="3B3838" w:themeColor="background2" w:themeShade="40"/>
        </w:rPr>
        <w:t xml:space="preserve"> </w:t>
      </w:r>
      <w:r w:rsidR="005561F3" w:rsidRPr="08ADB821">
        <w:rPr>
          <w:rFonts w:ascii="Poppins" w:hAnsi="Poppins" w:cs="Poppins"/>
          <w:i/>
          <w:iCs/>
          <w:color w:val="3B3838" w:themeColor="background2" w:themeShade="40"/>
        </w:rPr>
        <w:t>-</w:t>
      </w:r>
      <w:r w:rsidR="4A2FFD7C" w:rsidRPr="08ADB821">
        <w:rPr>
          <w:rFonts w:ascii="Poppins" w:hAnsi="Poppins" w:cs="Poppins"/>
          <w:i/>
          <w:iCs/>
          <w:color w:val="3B3838" w:themeColor="background2" w:themeShade="40"/>
        </w:rPr>
        <w:t xml:space="preserve"> </w:t>
      </w:r>
      <w:r w:rsidR="00C45651" w:rsidRPr="08ADB821">
        <w:rPr>
          <w:rFonts w:ascii="Poppins" w:hAnsi="Poppins" w:cs="Poppins"/>
          <w:i/>
          <w:iCs/>
          <w:color w:val="3B3838" w:themeColor="background2" w:themeShade="40"/>
        </w:rPr>
        <w:t>0.64%</w:t>
      </w:r>
      <w:r w:rsidRPr="08ADB821">
        <w:rPr>
          <w:rFonts w:ascii="Poppins" w:hAnsi="Poppins" w:cs="Poppins"/>
          <w:i/>
          <w:iCs/>
          <w:color w:val="3B3838" w:themeColor="background2" w:themeShade="40"/>
        </w:rPr>
        <w:t xml:space="preserve"> (£</w:t>
      </w:r>
      <w:r w:rsidR="00B266F9" w:rsidRPr="08ADB821">
        <w:rPr>
          <w:rFonts w:ascii="Poppins" w:hAnsi="Poppins" w:cs="Poppins"/>
          <w:i/>
          <w:iCs/>
          <w:color w:val="3B3838" w:themeColor="background2" w:themeShade="40"/>
        </w:rPr>
        <w:t>16</w:t>
      </w:r>
      <w:r w:rsidR="0017360F" w:rsidRPr="08ADB821">
        <w:rPr>
          <w:rFonts w:ascii="Poppins" w:hAnsi="Poppins" w:cs="Poppins"/>
          <w:i/>
          <w:iCs/>
          <w:color w:val="3B3838" w:themeColor="background2" w:themeShade="40"/>
        </w:rPr>
        <w:t>.19</w:t>
      </w:r>
      <w:r w:rsidRPr="08ADB821">
        <w:rPr>
          <w:rFonts w:ascii="Poppins" w:hAnsi="Poppins" w:cs="Poppins"/>
          <w:i/>
          <w:iCs/>
          <w:color w:val="3B3838" w:themeColor="background2" w:themeShade="40"/>
        </w:rPr>
        <w:t>) on Q</w:t>
      </w:r>
      <w:r w:rsidR="0017360F" w:rsidRPr="08ADB821">
        <w:rPr>
          <w:rFonts w:ascii="Poppins" w:hAnsi="Poppins" w:cs="Poppins"/>
          <w:i/>
          <w:iCs/>
          <w:color w:val="3B3838" w:themeColor="background2" w:themeShade="40"/>
        </w:rPr>
        <w:t>2</w:t>
      </w:r>
      <w:r w:rsidRPr="08ADB821">
        <w:rPr>
          <w:rFonts w:ascii="Poppins" w:hAnsi="Poppins" w:cs="Poppins"/>
          <w:i/>
          <w:iCs/>
          <w:color w:val="3B3838" w:themeColor="background2" w:themeShade="40"/>
        </w:rPr>
        <w:t xml:space="preserve"> 202</w:t>
      </w:r>
      <w:r w:rsidR="00532DDF" w:rsidRPr="08ADB821">
        <w:rPr>
          <w:rFonts w:ascii="Poppins" w:hAnsi="Poppins" w:cs="Poppins"/>
          <w:i/>
          <w:iCs/>
          <w:color w:val="3B3838" w:themeColor="background2" w:themeShade="40"/>
        </w:rPr>
        <w:t>4</w:t>
      </w:r>
      <w:r w:rsidRPr="08ADB821">
        <w:rPr>
          <w:rFonts w:ascii="Poppins" w:hAnsi="Poppins" w:cs="Poppins"/>
          <w:i/>
          <w:iCs/>
          <w:color w:val="3B3838" w:themeColor="background2" w:themeShade="40"/>
        </w:rPr>
        <w:t xml:space="preserve"> (£</w:t>
      </w:r>
      <w:r w:rsidR="000E643A" w:rsidRPr="08ADB821">
        <w:rPr>
          <w:rFonts w:ascii="Poppins" w:hAnsi="Poppins" w:cs="Poppins"/>
          <w:i/>
          <w:iCs/>
          <w:color w:val="3B3838" w:themeColor="background2" w:themeShade="40"/>
        </w:rPr>
        <w:t>16.30</w:t>
      </w:r>
      <w:r w:rsidRPr="08ADB821">
        <w:rPr>
          <w:rFonts w:ascii="Poppins" w:hAnsi="Poppins" w:cs="Poppins"/>
          <w:i/>
          <w:iCs/>
          <w:color w:val="3B3838" w:themeColor="background2" w:themeShade="40"/>
        </w:rPr>
        <w:t xml:space="preserve">bn), and </w:t>
      </w:r>
      <w:r w:rsidR="00065110" w:rsidRPr="08ADB821">
        <w:rPr>
          <w:rFonts w:ascii="Poppins" w:hAnsi="Poppins" w:cs="Poppins"/>
          <w:i/>
          <w:iCs/>
          <w:color w:val="3B3838" w:themeColor="background2" w:themeShade="40"/>
        </w:rPr>
        <w:t>16.26</w:t>
      </w:r>
      <w:r w:rsidRPr="08ADB821">
        <w:rPr>
          <w:rFonts w:ascii="Poppins" w:hAnsi="Poppins" w:cs="Poppins"/>
          <w:i/>
          <w:iCs/>
          <w:color w:val="3B3838" w:themeColor="background2" w:themeShade="40"/>
        </w:rPr>
        <w:t xml:space="preserve">% vs. </w:t>
      </w:r>
      <w:r w:rsidR="004E4D79" w:rsidRPr="08ADB821">
        <w:rPr>
          <w:rFonts w:ascii="Poppins" w:hAnsi="Poppins" w:cs="Poppins"/>
          <w:i/>
          <w:iCs/>
          <w:color w:val="3B3838" w:themeColor="background2" w:themeShade="40"/>
        </w:rPr>
        <w:t>Q3</w:t>
      </w:r>
      <w:r w:rsidRPr="08ADB821">
        <w:rPr>
          <w:rFonts w:ascii="Poppins" w:hAnsi="Poppins" w:cs="Poppins"/>
          <w:i/>
          <w:iCs/>
          <w:color w:val="3B3838" w:themeColor="background2" w:themeShade="40"/>
        </w:rPr>
        <w:t xml:space="preserve"> 2023</w:t>
      </w:r>
      <w:r w:rsidR="00E93B18" w:rsidRPr="08ADB821">
        <w:rPr>
          <w:rFonts w:ascii="Poppins" w:hAnsi="Poppins" w:cs="Poppins"/>
          <w:i/>
          <w:iCs/>
          <w:color w:val="3B3838" w:themeColor="background2" w:themeShade="40"/>
        </w:rPr>
        <w:t xml:space="preserve"> (</w:t>
      </w:r>
      <w:r w:rsidR="00705447" w:rsidRPr="08ADB821">
        <w:rPr>
          <w:rFonts w:ascii="Poppins" w:hAnsi="Poppins" w:cs="Poppins"/>
          <w:i/>
          <w:iCs/>
          <w:color w:val="3B3838" w:themeColor="background2" w:themeShade="40"/>
        </w:rPr>
        <w:t>£1</w:t>
      </w:r>
      <w:r w:rsidR="00065110" w:rsidRPr="08ADB821">
        <w:rPr>
          <w:rFonts w:ascii="Poppins" w:hAnsi="Poppins" w:cs="Poppins"/>
          <w:i/>
          <w:iCs/>
          <w:color w:val="3B3838" w:themeColor="background2" w:themeShade="40"/>
        </w:rPr>
        <w:t>3.9</w:t>
      </w:r>
      <w:r w:rsidR="00276A90" w:rsidRPr="08ADB821">
        <w:rPr>
          <w:rFonts w:ascii="Poppins" w:hAnsi="Poppins" w:cs="Poppins"/>
          <w:i/>
          <w:iCs/>
          <w:color w:val="3B3838" w:themeColor="background2" w:themeShade="40"/>
        </w:rPr>
        <w:t>3</w:t>
      </w:r>
      <w:r w:rsidR="00705447" w:rsidRPr="08ADB821">
        <w:rPr>
          <w:rFonts w:ascii="Poppins" w:hAnsi="Poppins" w:cs="Poppins"/>
          <w:i/>
          <w:iCs/>
          <w:color w:val="3B3838" w:themeColor="background2" w:themeShade="40"/>
        </w:rPr>
        <w:t>bn)</w:t>
      </w:r>
    </w:p>
    <w:p w14:paraId="048739B4" w14:textId="00DE7CAB" w:rsidR="005C041A" w:rsidRPr="00F63685" w:rsidRDefault="005C041A" w:rsidP="005C041A">
      <w:pPr>
        <w:pStyle w:val="ListParagraph"/>
        <w:numPr>
          <w:ilvl w:val="0"/>
          <w:numId w:val="3"/>
        </w:numPr>
        <w:rPr>
          <w:rFonts w:ascii="Poppins" w:hAnsi="Poppins" w:cs="Poppins"/>
          <w:i/>
          <w:color w:val="3B3838" w:themeColor="background2" w:themeShade="40"/>
        </w:rPr>
      </w:pPr>
      <w:r w:rsidRPr="53F7BE76">
        <w:rPr>
          <w:rFonts w:ascii="Poppins" w:hAnsi="Poppins" w:cs="Poppins"/>
          <w:i/>
          <w:iCs/>
          <w:color w:val="3B3838" w:themeColor="background2" w:themeShade="40"/>
        </w:rPr>
        <w:t xml:space="preserve">Advised platforms </w:t>
      </w:r>
      <w:r w:rsidR="00705447" w:rsidRPr="53F7BE76">
        <w:rPr>
          <w:rFonts w:ascii="Poppins" w:hAnsi="Poppins" w:cs="Poppins"/>
          <w:i/>
          <w:iCs/>
          <w:color w:val="3B3838" w:themeColor="background2" w:themeShade="40"/>
        </w:rPr>
        <w:t xml:space="preserve">net sales </w:t>
      </w:r>
      <w:r w:rsidR="000A06CE" w:rsidRPr="53F7BE76">
        <w:rPr>
          <w:rFonts w:ascii="Poppins" w:hAnsi="Poppins" w:cs="Poppins"/>
          <w:i/>
          <w:iCs/>
          <w:color w:val="3B3838" w:themeColor="background2" w:themeShade="40"/>
        </w:rPr>
        <w:t>up</w:t>
      </w:r>
      <w:r w:rsidR="005D5F01" w:rsidRPr="53F7BE76">
        <w:rPr>
          <w:rFonts w:ascii="Poppins" w:hAnsi="Poppins" w:cs="Poppins"/>
          <w:i/>
          <w:iCs/>
          <w:color w:val="3B3838" w:themeColor="background2" w:themeShade="40"/>
        </w:rPr>
        <w:t xml:space="preserve"> </w:t>
      </w:r>
      <w:r w:rsidR="00E575C1" w:rsidRPr="53F7BE76">
        <w:rPr>
          <w:rFonts w:ascii="Poppins" w:hAnsi="Poppins" w:cs="Poppins"/>
          <w:i/>
          <w:iCs/>
          <w:color w:val="3B3838" w:themeColor="background2" w:themeShade="40"/>
        </w:rPr>
        <w:t>17.04</w:t>
      </w:r>
      <w:r w:rsidR="005D5F01" w:rsidRPr="53F7BE76">
        <w:rPr>
          <w:rFonts w:ascii="Poppins" w:hAnsi="Poppins" w:cs="Poppins"/>
          <w:i/>
          <w:iCs/>
          <w:color w:val="3B3838" w:themeColor="background2" w:themeShade="40"/>
        </w:rPr>
        <w:t xml:space="preserve">% to </w:t>
      </w:r>
      <w:r w:rsidR="005D24E0" w:rsidRPr="53F7BE76">
        <w:rPr>
          <w:rFonts w:ascii="Poppins" w:hAnsi="Poppins" w:cs="Poppins"/>
          <w:i/>
          <w:iCs/>
          <w:color w:val="3B3838" w:themeColor="background2" w:themeShade="40"/>
        </w:rPr>
        <w:t>£</w:t>
      </w:r>
      <w:r w:rsidR="00AC3BC8" w:rsidRPr="53F7BE76">
        <w:rPr>
          <w:rFonts w:ascii="Poppins" w:hAnsi="Poppins" w:cs="Poppins"/>
          <w:i/>
          <w:iCs/>
          <w:color w:val="3B3838" w:themeColor="background2" w:themeShade="40"/>
        </w:rPr>
        <w:t>3.10</w:t>
      </w:r>
      <w:r w:rsidR="005D24E0" w:rsidRPr="53F7BE76">
        <w:rPr>
          <w:rFonts w:ascii="Poppins" w:hAnsi="Poppins" w:cs="Poppins"/>
          <w:i/>
          <w:iCs/>
          <w:color w:val="3B3838" w:themeColor="background2" w:themeShade="40"/>
        </w:rPr>
        <w:t xml:space="preserve">bn </w:t>
      </w:r>
      <w:r w:rsidR="00481A0C" w:rsidRPr="53F7BE76">
        <w:rPr>
          <w:rFonts w:ascii="Poppins" w:hAnsi="Poppins" w:cs="Poppins"/>
          <w:i/>
          <w:iCs/>
          <w:color w:val="3B3838" w:themeColor="background2" w:themeShade="40"/>
        </w:rPr>
        <w:t>(Q</w:t>
      </w:r>
      <w:r w:rsidR="00293404" w:rsidRPr="53F7BE76">
        <w:rPr>
          <w:rFonts w:ascii="Poppins" w:hAnsi="Poppins" w:cs="Poppins"/>
          <w:i/>
          <w:iCs/>
          <w:color w:val="3B3838" w:themeColor="background2" w:themeShade="40"/>
        </w:rPr>
        <w:t>2</w:t>
      </w:r>
      <w:r w:rsidR="00481A0C" w:rsidRPr="53F7BE76">
        <w:rPr>
          <w:rFonts w:ascii="Poppins" w:hAnsi="Poppins" w:cs="Poppins"/>
          <w:i/>
          <w:iCs/>
          <w:color w:val="3B3838" w:themeColor="background2" w:themeShade="40"/>
        </w:rPr>
        <w:t xml:space="preserve"> 2024 </w:t>
      </w:r>
      <w:r w:rsidR="00604D16" w:rsidRPr="53F7BE76">
        <w:rPr>
          <w:rFonts w:ascii="Poppins" w:hAnsi="Poppins" w:cs="Poppins"/>
          <w:i/>
          <w:iCs/>
          <w:color w:val="3B3838" w:themeColor="background2" w:themeShade="40"/>
        </w:rPr>
        <w:t>£</w:t>
      </w:r>
      <w:r w:rsidR="00F63685" w:rsidRPr="53F7BE76">
        <w:rPr>
          <w:rFonts w:ascii="Poppins" w:hAnsi="Poppins" w:cs="Poppins"/>
          <w:i/>
          <w:iCs/>
          <w:color w:val="3B3838" w:themeColor="background2" w:themeShade="40"/>
        </w:rPr>
        <w:t>2.65</w:t>
      </w:r>
      <w:r w:rsidR="00604D16" w:rsidRPr="53F7BE76">
        <w:rPr>
          <w:rFonts w:ascii="Poppins" w:hAnsi="Poppins" w:cs="Poppins"/>
          <w:i/>
          <w:iCs/>
          <w:color w:val="3B3838" w:themeColor="background2" w:themeShade="40"/>
        </w:rPr>
        <w:t>bn)</w:t>
      </w:r>
    </w:p>
    <w:p w14:paraId="788DF69B" w14:textId="306C1D4F" w:rsidR="71ECAB51" w:rsidRDefault="23482486" w:rsidP="08ADB821">
      <w:pPr>
        <w:pStyle w:val="ListParagraph"/>
        <w:numPr>
          <w:ilvl w:val="0"/>
          <w:numId w:val="3"/>
        </w:numPr>
        <w:rPr>
          <w:rFonts w:ascii="Poppins" w:hAnsi="Poppins" w:cs="Poppins"/>
          <w:i/>
          <w:iCs/>
          <w:color w:val="3B3838" w:themeColor="background2" w:themeShade="40"/>
        </w:rPr>
      </w:pPr>
      <w:r w:rsidRPr="08ADB821">
        <w:rPr>
          <w:rFonts w:ascii="Poppins" w:hAnsi="Poppins" w:cs="Poppins"/>
          <w:i/>
          <w:iCs/>
          <w:color w:val="3B3838" w:themeColor="background2" w:themeShade="40"/>
        </w:rPr>
        <w:t>Quilter tops the advised gross sales and net sales tables</w:t>
      </w:r>
    </w:p>
    <w:p w14:paraId="754E1735" w14:textId="53689264" w:rsidR="71ECAB51" w:rsidRDefault="06EDB02B" w:rsidP="08ADB821">
      <w:pPr>
        <w:pStyle w:val="ListParagraph"/>
        <w:numPr>
          <w:ilvl w:val="0"/>
          <w:numId w:val="3"/>
        </w:numPr>
        <w:rPr>
          <w:rFonts w:ascii="Poppins" w:hAnsi="Poppins" w:cs="Poppins"/>
          <w:i/>
          <w:iCs/>
          <w:color w:val="3B3838" w:themeColor="background2" w:themeShade="40"/>
        </w:rPr>
      </w:pPr>
      <w:r w:rsidRPr="08ADB821">
        <w:rPr>
          <w:rFonts w:ascii="Poppins" w:hAnsi="Poppins" w:cs="Poppins"/>
          <w:i/>
          <w:iCs/>
          <w:color w:val="3B3838" w:themeColor="background2" w:themeShade="40"/>
        </w:rPr>
        <w:t>Budget c</w:t>
      </w:r>
      <w:r w:rsidR="7B0CB234" w:rsidRPr="08ADB821">
        <w:rPr>
          <w:rFonts w:ascii="Poppins" w:hAnsi="Poppins" w:cs="Poppins"/>
          <w:i/>
          <w:iCs/>
          <w:color w:val="3B3838" w:themeColor="background2" w:themeShade="40"/>
        </w:rPr>
        <w:t>hanges to inherited pensions likely to impact future platform growth</w:t>
      </w:r>
    </w:p>
    <w:p w14:paraId="673DEBD3" w14:textId="7837E177" w:rsidR="71ECAB51" w:rsidRDefault="71ECAB51" w:rsidP="71ECAB51">
      <w:pPr>
        <w:rPr>
          <w:rFonts w:ascii="Poppins" w:hAnsi="Poppins" w:cs="Poppins"/>
        </w:rPr>
      </w:pPr>
    </w:p>
    <w:p w14:paraId="71F3653E" w14:textId="2F4CDBA7" w:rsidR="001D76B9" w:rsidRPr="00742BAD" w:rsidRDefault="00756E66">
      <w:pPr>
        <w:rPr>
          <w:rFonts w:ascii="Poppins" w:hAnsi="Poppins" w:cs="Poppins"/>
        </w:rPr>
      </w:pPr>
      <w:r w:rsidRPr="08ADB821">
        <w:rPr>
          <w:rFonts w:ascii="Poppins" w:hAnsi="Poppins" w:cs="Poppins"/>
        </w:rPr>
        <w:t>G</w:t>
      </w:r>
      <w:r w:rsidR="00D8300D" w:rsidRPr="08ADB821">
        <w:rPr>
          <w:rFonts w:ascii="Poppins" w:hAnsi="Poppins" w:cs="Poppins"/>
        </w:rPr>
        <w:t xml:space="preserve">ross sales </w:t>
      </w:r>
      <w:r w:rsidRPr="08ADB821">
        <w:rPr>
          <w:rFonts w:ascii="Poppins" w:hAnsi="Poppins" w:cs="Poppins"/>
        </w:rPr>
        <w:t>across advised platform</w:t>
      </w:r>
      <w:r w:rsidR="63E5091A" w:rsidRPr="08ADB821">
        <w:rPr>
          <w:rFonts w:ascii="Poppins" w:hAnsi="Poppins" w:cs="Poppins"/>
        </w:rPr>
        <w:t>s</w:t>
      </w:r>
      <w:r w:rsidRPr="08ADB821">
        <w:rPr>
          <w:rFonts w:ascii="Poppins" w:hAnsi="Poppins" w:cs="Poppins"/>
        </w:rPr>
        <w:t xml:space="preserve"> </w:t>
      </w:r>
      <w:bookmarkStart w:id="0" w:name="_Int_JeHMzLPy"/>
      <w:r w:rsidR="00374A20" w:rsidRPr="08ADB821">
        <w:rPr>
          <w:rFonts w:ascii="Poppins" w:hAnsi="Poppins" w:cs="Poppins"/>
        </w:rPr>
        <w:t>rose</w:t>
      </w:r>
      <w:bookmarkEnd w:id="0"/>
      <w:r w:rsidR="00374A20" w:rsidRPr="08ADB821">
        <w:rPr>
          <w:rFonts w:ascii="Poppins" w:hAnsi="Poppins" w:cs="Poppins"/>
        </w:rPr>
        <w:t xml:space="preserve"> </w:t>
      </w:r>
      <w:r w:rsidRPr="08ADB821">
        <w:rPr>
          <w:rFonts w:ascii="Poppins" w:hAnsi="Poppins" w:cs="Poppins"/>
        </w:rPr>
        <w:t>a modest 1.</w:t>
      </w:r>
      <w:r w:rsidR="00D66880" w:rsidRPr="08ADB821">
        <w:rPr>
          <w:rFonts w:ascii="Poppins" w:hAnsi="Poppins" w:cs="Poppins"/>
        </w:rPr>
        <w:t>83</w:t>
      </w:r>
      <w:r w:rsidRPr="08ADB821">
        <w:rPr>
          <w:rFonts w:ascii="Poppins" w:hAnsi="Poppins" w:cs="Poppins"/>
        </w:rPr>
        <w:t xml:space="preserve">% on the previous quarter, but total </w:t>
      </w:r>
      <w:r w:rsidR="00EC0B1E" w:rsidRPr="08ADB821">
        <w:rPr>
          <w:rFonts w:ascii="Poppins" w:hAnsi="Poppins" w:cs="Poppins"/>
        </w:rPr>
        <w:t>£57.</w:t>
      </w:r>
      <w:r w:rsidR="00D66880" w:rsidRPr="08ADB821">
        <w:rPr>
          <w:rFonts w:ascii="Poppins" w:hAnsi="Poppins" w:cs="Poppins"/>
        </w:rPr>
        <w:t>28</w:t>
      </w:r>
      <w:r w:rsidR="00EC0B1E" w:rsidRPr="08ADB821">
        <w:rPr>
          <w:rFonts w:ascii="Poppins" w:hAnsi="Poppins" w:cs="Poppins"/>
        </w:rPr>
        <w:t xml:space="preserve">bn for 2024 YTD, </w:t>
      </w:r>
      <w:r w:rsidR="007E04FE" w:rsidRPr="08ADB821">
        <w:rPr>
          <w:rFonts w:ascii="Poppins" w:hAnsi="Poppins" w:cs="Poppins"/>
        </w:rPr>
        <w:t xml:space="preserve">up </w:t>
      </w:r>
      <w:bookmarkStart w:id="1" w:name="_Int_RMnOKBZv"/>
      <w:r w:rsidR="002835B5" w:rsidRPr="08ADB821">
        <w:rPr>
          <w:rFonts w:ascii="Poppins" w:hAnsi="Poppins" w:cs="Poppins"/>
        </w:rPr>
        <w:t xml:space="preserve">nearly </w:t>
      </w:r>
      <w:r w:rsidR="007E04FE" w:rsidRPr="08ADB821">
        <w:rPr>
          <w:rFonts w:ascii="Poppins" w:hAnsi="Poppins" w:cs="Poppins"/>
        </w:rPr>
        <w:t>£</w:t>
      </w:r>
      <w:bookmarkEnd w:id="1"/>
      <w:r w:rsidR="007E04FE" w:rsidRPr="08ADB821">
        <w:rPr>
          <w:rFonts w:ascii="Poppins" w:hAnsi="Poppins" w:cs="Poppins"/>
        </w:rPr>
        <w:t>10bn on the same period in 2023 (</w:t>
      </w:r>
      <w:r w:rsidR="002835B5" w:rsidRPr="08ADB821">
        <w:rPr>
          <w:rFonts w:ascii="Poppins" w:hAnsi="Poppins" w:cs="Poppins"/>
        </w:rPr>
        <w:t>Q3 2023 YTD £47.35bn).</w:t>
      </w:r>
    </w:p>
    <w:p w14:paraId="48B67489" w14:textId="77777777" w:rsidR="0045622A" w:rsidRPr="00742BAD" w:rsidRDefault="0045622A">
      <w:pPr>
        <w:rPr>
          <w:rFonts w:ascii="Poppins" w:hAnsi="Poppins" w:cs="Poppins"/>
        </w:rPr>
      </w:pPr>
    </w:p>
    <w:p w14:paraId="3FC0B82A" w14:textId="71265738" w:rsidR="0045622A" w:rsidRPr="00742BAD" w:rsidRDefault="002F596D">
      <w:pPr>
        <w:rPr>
          <w:rFonts w:ascii="Poppins" w:hAnsi="Poppins" w:cs="Poppins"/>
        </w:rPr>
      </w:pPr>
      <w:r w:rsidRPr="08ADB821">
        <w:rPr>
          <w:rFonts w:ascii="Poppins" w:hAnsi="Poppins" w:cs="Poppins"/>
        </w:rPr>
        <w:t>O</w:t>
      </w:r>
      <w:r w:rsidR="0045622A" w:rsidRPr="08ADB821">
        <w:rPr>
          <w:rFonts w:ascii="Poppins" w:hAnsi="Poppins" w:cs="Poppins"/>
        </w:rPr>
        <w:t xml:space="preserve">utflows </w:t>
      </w:r>
      <w:r w:rsidRPr="08ADB821">
        <w:rPr>
          <w:rFonts w:ascii="Poppins" w:hAnsi="Poppins" w:cs="Poppins"/>
        </w:rPr>
        <w:t xml:space="preserve">from advised platforms </w:t>
      </w:r>
      <w:bookmarkStart w:id="2" w:name="_Int_qEKVQYAD"/>
      <w:r w:rsidR="0045622A" w:rsidRPr="08ADB821">
        <w:rPr>
          <w:rFonts w:ascii="Poppins" w:hAnsi="Poppins" w:cs="Poppins"/>
        </w:rPr>
        <w:t>fell</w:t>
      </w:r>
      <w:bookmarkEnd w:id="2"/>
      <w:r w:rsidR="0045622A" w:rsidRPr="08ADB821">
        <w:rPr>
          <w:rFonts w:ascii="Poppins" w:hAnsi="Poppins" w:cs="Poppins"/>
        </w:rPr>
        <w:t xml:space="preserve"> </w:t>
      </w:r>
      <w:r w:rsidR="003B5B32" w:rsidRPr="08ADB821">
        <w:rPr>
          <w:rFonts w:ascii="Poppins" w:hAnsi="Poppins" w:cs="Poppins"/>
        </w:rPr>
        <w:t xml:space="preserve">in Q3 2024 </w:t>
      </w:r>
      <w:r w:rsidR="00BD75B7" w:rsidRPr="08ADB821">
        <w:rPr>
          <w:rFonts w:ascii="Poppins" w:hAnsi="Poppins" w:cs="Poppins"/>
        </w:rPr>
        <w:t>from</w:t>
      </w:r>
      <w:r w:rsidR="00F42854" w:rsidRPr="08ADB821">
        <w:rPr>
          <w:rFonts w:ascii="Poppins" w:hAnsi="Poppins" w:cs="Poppins"/>
        </w:rPr>
        <w:t xml:space="preserve"> </w:t>
      </w:r>
      <w:r w:rsidR="00855F7A" w:rsidRPr="08ADB821">
        <w:rPr>
          <w:rFonts w:ascii="Poppins" w:hAnsi="Poppins" w:cs="Poppins"/>
        </w:rPr>
        <w:t xml:space="preserve">£16.30bn in Q2 2024 to </w:t>
      </w:r>
      <w:r w:rsidR="004513C2" w:rsidRPr="08ADB821">
        <w:rPr>
          <w:rFonts w:ascii="Poppins" w:hAnsi="Poppins" w:cs="Poppins"/>
        </w:rPr>
        <w:t>£16.19bn</w:t>
      </w:r>
      <w:r w:rsidR="00855F7A" w:rsidRPr="08ADB821">
        <w:rPr>
          <w:rFonts w:ascii="Poppins" w:hAnsi="Poppins" w:cs="Poppins"/>
        </w:rPr>
        <w:t xml:space="preserve"> (-0.6</w:t>
      </w:r>
      <w:r w:rsidR="00B815BD" w:rsidRPr="08ADB821">
        <w:rPr>
          <w:rFonts w:ascii="Poppins" w:hAnsi="Poppins" w:cs="Poppins"/>
        </w:rPr>
        <w:t>4</w:t>
      </w:r>
      <w:r w:rsidR="00855F7A" w:rsidRPr="08ADB821">
        <w:rPr>
          <w:rFonts w:ascii="Poppins" w:hAnsi="Poppins" w:cs="Poppins"/>
        </w:rPr>
        <w:t>%)</w:t>
      </w:r>
      <w:r w:rsidR="004513C2" w:rsidRPr="08ADB821">
        <w:rPr>
          <w:rFonts w:ascii="Poppins" w:hAnsi="Poppins" w:cs="Poppins"/>
        </w:rPr>
        <w:t xml:space="preserve">, </w:t>
      </w:r>
      <w:r w:rsidR="007478AA" w:rsidRPr="08ADB821">
        <w:rPr>
          <w:rFonts w:ascii="Poppins" w:hAnsi="Poppins" w:cs="Poppins"/>
        </w:rPr>
        <w:t xml:space="preserve">halting </w:t>
      </w:r>
      <w:r w:rsidR="003B5B32" w:rsidRPr="08ADB821">
        <w:rPr>
          <w:rFonts w:ascii="Poppins" w:hAnsi="Poppins" w:cs="Poppins"/>
        </w:rPr>
        <w:t xml:space="preserve">eight quarters of consecutive rises. </w:t>
      </w:r>
      <w:r w:rsidR="00B118BF" w:rsidRPr="08ADB821">
        <w:rPr>
          <w:rFonts w:ascii="Poppins" w:hAnsi="Poppins" w:cs="Poppins"/>
        </w:rPr>
        <w:t xml:space="preserve">With gross sales up and outflows down, net sales </w:t>
      </w:r>
      <w:r w:rsidR="00CB4CD9" w:rsidRPr="08ADB821">
        <w:rPr>
          <w:rFonts w:ascii="Poppins" w:hAnsi="Poppins" w:cs="Poppins"/>
        </w:rPr>
        <w:t>are £3.1</w:t>
      </w:r>
      <w:r w:rsidR="00B815BD" w:rsidRPr="08ADB821">
        <w:rPr>
          <w:rFonts w:ascii="Poppins" w:hAnsi="Poppins" w:cs="Poppins"/>
        </w:rPr>
        <w:t>0</w:t>
      </w:r>
      <w:r w:rsidR="00CB4CD9" w:rsidRPr="08ADB821">
        <w:rPr>
          <w:rFonts w:ascii="Poppins" w:hAnsi="Poppins" w:cs="Poppins"/>
        </w:rPr>
        <w:t xml:space="preserve">bn, </w:t>
      </w:r>
      <w:r w:rsidR="00B9246C" w:rsidRPr="08ADB821">
        <w:rPr>
          <w:rFonts w:ascii="Poppins" w:hAnsi="Poppins" w:cs="Poppins"/>
        </w:rPr>
        <w:t>a 1</w:t>
      </w:r>
      <w:r w:rsidR="00B815BD" w:rsidRPr="08ADB821">
        <w:rPr>
          <w:rFonts w:ascii="Poppins" w:hAnsi="Poppins" w:cs="Poppins"/>
        </w:rPr>
        <w:t>7</w:t>
      </w:r>
      <w:r w:rsidR="00B9246C" w:rsidRPr="08ADB821">
        <w:rPr>
          <w:rFonts w:ascii="Poppins" w:hAnsi="Poppins" w:cs="Poppins"/>
        </w:rPr>
        <w:t>.</w:t>
      </w:r>
      <w:r w:rsidR="00B815BD" w:rsidRPr="08ADB821">
        <w:rPr>
          <w:rFonts w:ascii="Poppins" w:hAnsi="Poppins" w:cs="Poppins"/>
        </w:rPr>
        <w:t>04</w:t>
      </w:r>
      <w:r w:rsidR="00B9246C" w:rsidRPr="08ADB821">
        <w:rPr>
          <w:rFonts w:ascii="Poppins" w:hAnsi="Poppins" w:cs="Poppins"/>
        </w:rPr>
        <w:t xml:space="preserve">% </w:t>
      </w:r>
      <w:r w:rsidR="00655507" w:rsidRPr="08ADB821">
        <w:rPr>
          <w:rFonts w:ascii="Poppins" w:hAnsi="Poppins" w:cs="Poppins"/>
        </w:rPr>
        <w:t>increase</w:t>
      </w:r>
      <w:r w:rsidR="00B9246C" w:rsidRPr="08ADB821">
        <w:rPr>
          <w:rFonts w:ascii="Poppins" w:hAnsi="Poppins" w:cs="Poppins"/>
        </w:rPr>
        <w:t xml:space="preserve"> on the previous quarter and 70.</w:t>
      </w:r>
      <w:r w:rsidR="00B815BD" w:rsidRPr="08ADB821">
        <w:rPr>
          <w:rFonts w:ascii="Poppins" w:hAnsi="Poppins" w:cs="Poppins"/>
        </w:rPr>
        <w:t>03</w:t>
      </w:r>
      <w:r w:rsidR="00B9246C" w:rsidRPr="08ADB821">
        <w:rPr>
          <w:rFonts w:ascii="Poppins" w:hAnsi="Poppins" w:cs="Poppins"/>
        </w:rPr>
        <w:t xml:space="preserve">% on </w:t>
      </w:r>
      <w:r w:rsidR="00FC6A48" w:rsidRPr="08ADB821">
        <w:rPr>
          <w:rFonts w:ascii="Poppins" w:hAnsi="Poppins" w:cs="Poppins"/>
        </w:rPr>
        <w:t xml:space="preserve">the previous year. </w:t>
      </w:r>
    </w:p>
    <w:p w14:paraId="2391FE3F" w14:textId="77777777" w:rsidR="00847AEC" w:rsidRPr="00742BAD" w:rsidRDefault="00847AEC">
      <w:pPr>
        <w:rPr>
          <w:rFonts w:ascii="Poppins" w:hAnsi="Poppins" w:cs="Poppins"/>
        </w:rPr>
      </w:pPr>
    </w:p>
    <w:p w14:paraId="4FF5FC12" w14:textId="2511645B" w:rsidR="00C0005A" w:rsidRPr="00742BAD" w:rsidRDefault="002516D0">
      <w:pPr>
        <w:rPr>
          <w:rFonts w:ascii="Poppins" w:hAnsi="Poppins" w:cs="Poppins"/>
        </w:rPr>
      </w:pPr>
      <w:r w:rsidRPr="08ADB821">
        <w:rPr>
          <w:rFonts w:ascii="Poppins" w:hAnsi="Poppins" w:cs="Poppins"/>
        </w:rPr>
        <w:t xml:space="preserve">From a platform perspective, </w:t>
      </w:r>
      <w:bookmarkStart w:id="3" w:name="_Int_hhTjzEm4"/>
      <w:r w:rsidRPr="08ADB821">
        <w:rPr>
          <w:rFonts w:ascii="Poppins" w:hAnsi="Poppins" w:cs="Poppins"/>
        </w:rPr>
        <w:t>it’s</w:t>
      </w:r>
      <w:bookmarkEnd w:id="3"/>
      <w:r w:rsidRPr="08ADB821">
        <w:rPr>
          <w:rFonts w:ascii="Poppins" w:hAnsi="Poppins" w:cs="Poppins"/>
        </w:rPr>
        <w:t xml:space="preserve"> familiar faces at the top end of the sales tables. Quilter, Aviva, Transact </w:t>
      </w:r>
      <w:r w:rsidR="00287CF7" w:rsidRPr="08ADB821">
        <w:rPr>
          <w:rFonts w:ascii="Poppins" w:hAnsi="Poppins" w:cs="Poppins"/>
        </w:rPr>
        <w:t>take the podium spots for gross and net advised sales</w:t>
      </w:r>
      <w:r w:rsidR="000B18CF" w:rsidRPr="08ADB821">
        <w:rPr>
          <w:rFonts w:ascii="Poppins" w:hAnsi="Poppins" w:cs="Poppins"/>
        </w:rPr>
        <w:t xml:space="preserve"> for the third consecutive quarter.</w:t>
      </w:r>
      <w:r w:rsidR="00831989" w:rsidRPr="08ADB821">
        <w:rPr>
          <w:rFonts w:ascii="Poppins" w:hAnsi="Poppins" w:cs="Poppins"/>
        </w:rPr>
        <w:t xml:space="preserve"> Quilter’s </w:t>
      </w:r>
      <w:r w:rsidR="008E768B" w:rsidRPr="08ADB821">
        <w:rPr>
          <w:rFonts w:ascii="Poppins" w:hAnsi="Poppins" w:cs="Poppins"/>
        </w:rPr>
        <w:t xml:space="preserve">gross sales is the highest quarterly sales </w:t>
      </w:r>
      <w:r w:rsidR="00C0005A" w:rsidRPr="08ADB821">
        <w:rPr>
          <w:rFonts w:ascii="Poppins" w:hAnsi="Poppins" w:cs="Poppins"/>
        </w:rPr>
        <w:t>figure on the lang cat’s records</w:t>
      </w:r>
      <w:r w:rsidR="396B8EC4" w:rsidRPr="08ADB821">
        <w:rPr>
          <w:rFonts w:ascii="Poppins" w:hAnsi="Poppins" w:cs="Poppins"/>
        </w:rPr>
        <w:t xml:space="preserve">. </w:t>
      </w:r>
    </w:p>
    <w:p w14:paraId="23D80882" w14:textId="77777777" w:rsidR="00C0005A" w:rsidRPr="00742BAD" w:rsidRDefault="00C0005A">
      <w:pPr>
        <w:rPr>
          <w:rFonts w:ascii="Poppins" w:hAnsi="Poppins" w:cs="Poppins"/>
        </w:rPr>
      </w:pPr>
    </w:p>
    <w:p w14:paraId="0F4343F9" w14:textId="01B9AD64" w:rsidR="005624C5" w:rsidRDefault="00C0005A">
      <w:pPr>
        <w:rPr>
          <w:rFonts w:ascii="Poppins" w:hAnsi="Poppins" w:cs="Poppins"/>
        </w:rPr>
      </w:pPr>
      <w:r w:rsidRPr="08ADB821">
        <w:rPr>
          <w:rFonts w:ascii="Poppins" w:hAnsi="Poppins" w:cs="Poppins"/>
        </w:rPr>
        <w:t xml:space="preserve">Quilter’s </w:t>
      </w:r>
      <w:r w:rsidR="00831989" w:rsidRPr="08ADB821">
        <w:rPr>
          <w:rFonts w:ascii="Poppins" w:hAnsi="Poppins" w:cs="Poppins"/>
        </w:rPr>
        <w:t>net sales figure is its best on record and the highest quarterly total by an</w:t>
      </w:r>
      <w:r w:rsidR="000502F9" w:rsidRPr="08ADB821">
        <w:rPr>
          <w:rFonts w:ascii="Poppins" w:hAnsi="Poppins" w:cs="Poppins"/>
        </w:rPr>
        <w:t>y</w:t>
      </w:r>
      <w:r w:rsidR="00831989" w:rsidRPr="08ADB821">
        <w:rPr>
          <w:rFonts w:ascii="Poppins" w:hAnsi="Poppins" w:cs="Poppins"/>
        </w:rPr>
        <w:t xml:space="preserve"> advised platform since Q1 2021</w:t>
      </w:r>
      <w:r w:rsidR="31464B7F" w:rsidRPr="08ADB821">
        <w:rPr>
          <w:rFonts w:ascii="Poppins" w:hAnsi="Poppins" w:cs="Poppins"/>
        </w:rPr>
        <w:t xml:space="preserve">. </w:t>
      </w:r>
      <w:r w:rsidR="1E87FB1B" w:rsidRPr="08ADB821">
        <w:rPr>
          <w:rFonts w:ascii="Poppins" w:hAnsi="Poppins" w:cs="Poppins"/>
        </w:rPr>
        <w:t>This</w:t>
      </w:r>
      <w:r w:rsidR="0C626587" w:rsidRPr="08ADB821">
        <w:rPr>
          <w:rFonts w:ascii="Poppins" w:hAnsi="Poppins" w:cs="Poppins"/>
        </w:rPr>
        <w:t xml:space="preserve"> </w:t>
      </w:r>
      <w:r w:rsidR="562067DA" w:rsidRPr="08ADB821">
        <w:rPr>
          <w:rFonts w:ascii="Poppins" w:hAnsi="Poppins" w:cs="Poppins"/>
        </w:rPr>
        <w:t xml:space="preserve">is </w:t>
      </w:r>
      <w:r w:rsidR="00F43E5C" w:rsidRPr="08ADB821">
        <w:rPr>
          <w:rFonts w:ascii="Poppins" w:hAnsi="Poppins" w:cs="Poppins"/>
        </w:rPr>
        <w:t>the best quarter of a record-breaking year of platform sales.</w:t>
      </w:r>
      <w:r w:rsidR="000B18CF" w:rsidRPr="08ADB821">
        <w:rPr>
          <w:rFonts w:ascii="Poppins" w:hAnsi="Poppins" w:cs="Poppins"/>
        </w:rPr>
        <w:t xml:space="preserve"> </w:t>
      </w:r>
      <w:r w:rsidR="006E2E8F" w:rsidRPr="08ADB821">
        <w:rPr>
          <w:rFonts w:ascii="Poppins" w:hAnsi="Poppins" w:cs="Poppins"/>
        </w:rPr>
        <w:t>Back in Q1 2021</w:t>
      </w:r>
      <w:r w:rsidR="00277A1B" w:rsidRPr="08ADB821">
        <w:rPr>
          <w:rFonts w:ascii="Poppins" w:hAnsi="Poppins" w:cs="Poppins"/>
        </w:rPr>
        <w:t xml:space="preserve">, many platforms benefited from a </w:t>
      </w:r>
      <w:r w:rsidR="00CE0D2D" w:rsidRPr="08ADB821">
        <w:rPr>
          <w:rFonts w:ascii="Poppins" w:hAnsi="Poppins" w:cs="Poppins"/>
        </w:rPr>
        <w:t xml:space="preserve">flood of investment </w:t>
      </w:r>
      <w:r w:rsidR="00D71212" w:rsidRPr="08ADB821">
        <w:rPr>
          <w:rFonts w:ascii="Poppins" w:hAnsi="Poppins" w:cs="Poppins"/>
        </w:rPr>
        <w:t>following the pandemic</w:t>
      </w:r>
      <w:r w:rsidR="00EB380C" w:rsidRPr="08ADB821">
        <w:rPr>
          <w:rFonts w:ascii="Poppins" w:hAnsi="Poppins" w:cs="Poppins"/>
        </w:rPr>
        <w:t>. N</w:t>
      </w:r>
      <w:r w:rsidR="00D71212" w:rsidRPr="08ADB821">
        <w:rPr>
          <w:rFonts w:ascii="Poppins" w:hAnsi="Poppins" w:cs="Poppins"/>
        </w:rPr>
        <w:t xml:space="preserve">et sales totalled </w:t>
      </w:r>
      <w:r w:rsidR="00457190" w:rsidRPr="08ADB821">
        <w:rPr>
          <w:rFonts w:ascii="Poppins" w:hAnsi="Poppins" w:cs="Poppins"/>
        </w:rPr>
        <w:t>£10.71bn</w:t>
      </w:r>
      <w:r w:rsidR="00EB380C" w:rsidRPr="08ADB821">
        <w:rPr>
          <w:rFonts w:ascii="Poppins" w:hAnsi="Poppins" w:cs="Poppins"/>
        </w:rPr>
        <w:t xml:space="preserve"> in Q1 </w:t>
      </w:r>
      <w:r w:rsidR="4C9C3DF3" w:rsidRPr="08ADB821">
        <w:rPr>
          <w:rFonts w:ascii="Poppins" w:hAnsi="Poppins" w:cs="Poppins"/>
        </w:rPr>
        <w:t>2021 but</w:t>
      </w:r>
      <w:r w:rsidR="00EB380C" w:rsidRPr="08ADB821">
        <w:rPr>
          <w:rFonts w:ascii="Poppins" w:hAnsi="Poppins" w:cs="Poppins"/>
        </w:rPr>
        <w:t xml:space="preserve"> totalled </w:t>
      </w:r>
      <w:r w:rsidR="00931F7F" w:rsidRPr="08ADB821">
        <w:rPr>
          <w:rFonts w:ascii="Poppins" w:hAnsi="Poppins" w:cs="Poppins"/>
        </w:rPr>
        <w:t>£3.10bn in Q3 2024</w:t>
      </w:r>
      <w:r w:rsidR="00EB380C" w:rsidRPr="08ADB821">
        <w:rPr>
          <w:rFonts w:ascii="Poppins" w:hAnsi="Poppins" w:cs="Poppins"/>
        </w:rPr>
        <w:t xml:space="preserve">. </w:t>
      </w:r>
    </w:p>
    <w:p w14:paraId="12173C68" w14:textId="3CB0BB4A" w:rsidR="00D8428F" w:rsidRDefault="00D8428F" w:rsidP="53F7BE76">
      <w:pPr>
        <w:rPr>
          <w:rFonts w:ascii="Poppins" w:hAnsi="Poppins" w:cs="Poppins"/>
        </w:rPr>
      </w:pPr>
    </w:p>
    <w:p w14:paraId="3B8E4F5A" w14:textId="584965D5" w:rsidR="006A15B1" w:rsidRPr="00742BAD" w:rsidRDefault="006A15B1">
      <w:pPr>
        <w:rPr>
          <w:rFonts w:ascii="Poppins" w:hAnsi="Poppins" w:cs="Poppins"/>
        </w:rPr>
      </w:pPr>
      <w:r w:rsidRPr="08ADB821">
        <w:rPr>
          <w:rFonts w:ascii="Poppins" w:hAnsi="Poppins" w:cs="Poppins"/>
        </w:rPr>
        <w:t>From a wrapper perspective</w:t>
      </w:r>
      <w:r w:rsidR="00804797" w:rsidRPr="08ADB821">
        <w:rPr>
          <w:rFonts w:ascii="Poppins" w:hAnsi="Poppins" w:cs="Poppins"/>
        </w:rPr>
        <w:t xml:space="preserve"> across all platform business</w:t>
      </w:r>
      <w:r w:rsidRPr="08ADB821">
        <w:rPr>
          <w:rFonts w:ascii="Poppins" w:hAnsi="Poppins" w:cs="Poppins"/>
        </w:rPr>
        <w:t xml:space="preserve">, </w:t>
      </w:r>
      <w:bookmarkStart w:id="4" w:name="_Int_ZWzPhHqw"/>
      <w:r w:rsidR="006C272C" w:rsidRPr="08ADB821">
        <w:rPr>
          <w:rFonts w:ascii="Poppins" w:hAnsi="Poppins" w:cs="Poppins"/>
        </w:rPr>
        <w:t xml:space="preserve">nearly </w:t>
      </w:r>
      <w:r w:rsidR="00B62169" w:rsidRPr="08ADB821">
        <w:rPr>
          <w:rFonts w:ascii="Poppins" w:hAnsi="Poppins" w:cs="Poppins"/>
        </w:rPr>
        <w:t>all</w:t>
      </w:r>
      <w:bookmarkEnd w:id="4"/>
      <w:r w:rsidR="006C272C" w:rsidRPr="08ADB821">
        <w:rPr>
          <w:rFonts w:ascii="Poppins" w:hAnsi="Poppins" w:cs="Poppins"/>
        </w:rPr>
        <w:t xml:space="preserve"> the total net sales came from pension</w:t>
      </w:r>
      <w:r w:rsidR="00804797" w:rsidRPr="08ADB821">
        <w:rPr>
          <w:rFonts w:ascii="Poppins" w:hAnsi="Poppins" w:cs="Poppins"/>
        </w:rPr>
        <w:t>s</w:t>
      </w:r>
      <w:r w:rsidR="006C272C" w:rsidRPr="08ADB821">
        <w:rPr>
          <w:rFonts w:ascii="Poppins" w:hAnsi="Poppins" w:cs="Poppins"/>
        </w:rPr>
        <w:t xml:space="preserve">. </w:t>
      </w:r>
      <w:r w:rsidR="00DB0ABD" w:rsidRPr="08ADB821">
        <w:rPr>
          <w:rFonts w:ascii="Poppins" w:hAnsi="Poppins" w:cs="Poppins"/>
        </w:rPr>
        <w:t xml:space="preserve">ISAs </w:t>
      </w:r>
      <w:r w:rsidR="00374282" w:rsidRPr="08ADB821">
        <w:rPr>
          <w:rFonts w:ascii="Poppins" w:hAnsi="Poppins" w:cs="Poppins"/>
        </w:rPr>
        <w:t xml:space="preserve">slumped further into the red, with negative net sales of -£860m, from </w:t>
      </w:r>
      <w:r w:rsidR="0014354F" w:rsidRPr="08ADB821">
        <w:rPr>
          <w:rFonts w:ascii="Poppins" w:hAnsi="Poppins" w:cs="Poppins"/>
        </w:rPr>
        <w:t>-£33</w:t>
      </w:r>
      <w:r w:rsidR="00B62169" w:rsidRPr="08ADB821">
        <w:rPr>
          <w:rFonts w:ascii="Poppins" w:hAnsi="Poppins" w:cs="Poppins"/>
        </w:rPr>
        <w:t xml:space="preserve">5m in Q2 2024. </w:t>
      </w:r>
    </w:p>
    <w:p w14:paraId="1F94294F" w14:textId="77777777" w:rsidR="006A15B1" w:rsidRDefault="006A15B1">
      <w:pPr>
        <w:rPr>
          <w:rFonts w:ascii="Poppins" w:hAnsi="Poppins" w:cs="Poppins"/>
          <w:highlight w:val="magenta"/>
        </w:rPr>
      </w:pPr>
    </w:p>
    <w:p w14:paraId="52B0D374" w14:textId="77777777" w:rsidR="00274DA0" w:rsidRDefault="00274DA0">
      <w:pPr>
        <w:rPr>
          <w:rFonts w:ascii="Poppins" w:hAnsi="Poppins" w:cs="Poppins"/>
        </w:rPr>
      </w:pPr>
    </w:p>
    <w:p w14:paraId="3FF6252E" w14:textId="05279AE7" w:rsidR="00E92680" w:rsidRDefault="00E92680" w:rsidP="08ADB821">
      <w:pPr>
        <w:rPr>
          <w:rFonts w:ascii="Poppins" w:hAnsi="Poppins" w:cs="Poppins"/>
        </w:rPr>
      </w:pPr>
    </w:p>
    <w:p w14:paraId="58DDED1E" w14:textId="4BBD8077" w:rsidR="00600839" w:rsidRPr="00A24324" w:rsidRDefault="004053DB" w:rsidP="004053DB">
      <w:pPr>
        <w:tabs>
          <w:tab w:val="left" w:pos="2933"/>
        </w:tabs>
        <w:rPr>
          <w:rFonts w:ascii="Poppins" w:hAnsi="Poppins" w:cs="Poppins"/>
        </w:rPr>
      </w:pPr>
      <w:r w:rsidRPr="00A24324">
        <w:rPr>
          <w:rFonts w:ascii="Poppins" w:hAnsi="Poppins" w:cs="Poppins"/>
        </w:rPr>
        <w:tab/>
      </w:r>
    </w:p>
    <w:p w14:paraId="025EB1FA" w14:textId="77777777" w:rsidR="007B59C0" w:rsidRDefault="00600839" w:rsidP="004053DB">
      <w:pPr>
        <w:rPr>
          <w:rFonts w:ascii="Poppins" w:hAnsi="Poppins" w:cs="Poppins"/>
          <w:b/>
          <w:color w:val="auto"/>
        </w:rPr>
      </w:pPr>
      <w:r w:rsidRPr="00A24324">
        <w:rPr>
          <w:rFonts w:ascii="Poppins" w:hAnsi="Poppins" w:cs="Poppins"/>
          <w:b/>
          <w:color w:val="auto"/>
        </w:rPr>
        <w:t>Rich Mayor, senior analyst at the lang cat, comments:</w:t>
      </w:r>
      <w:r w:rsidR="004053DB" w:rsidRPr="00A24324">
        <w:rPr>
          <w:rFonts w:ascii="Poppins" w:hAnsi="Poppins" w:cs="Poppins"/>
          <w:b/>
          <w:color w:val="auto"/>
        </w:rPr>
        <w:t xml:space="preserve"> </w:t>
      </w:r>
    </w:p>
    <w:p w14:paraId="1FB37331" w14:textId="6674A780" w:rsidR="00472A2E" w:rsidRDefault="00472A2E" w:rsidP="004053DB">
      <w:pPr>
        <w:rPr>
          <w:rFonts w:ascii="Poppins" w:hAnsi="Poppins" w:cs="Poppins"/>
          <w:b/>
          <w:color w:val="auto"/>
        </w:rPr>
      </w:pPr>
    </w:p>
    <w:p w14:paraId="6724CD00" w14:textId="106BD9A0" w:rsidR="002128EE" w:rsidRPr="00E21F1A" w:rsidRDefault="00FA3353" w:rsidP="53F7BE76">
      <w:pPr>
        <w:rPr>
          <w:rFonts w:ascii="Poppins" w:hAnsi="Poppins" w:cs="Poppins"/>
          <w:color w:val="404040" w:themeColor="text1" w:themeTint="BF"/>
        </w:rPr>
      </w:pPr>
      <w:r w:rsidRPr="08ADB821">
        <w:rPr>
          <w:rFonts w:ascii="Poppins" w:hAnsi="Poppins" w:cs="Poppins"/>
          <w:color w:val="404040" w:themeColor="text1" w:themeTint="BF"/>
        </w:rPr>
        <w:t>“The third quarter</w:t>
      </w:r>
      <w:r w:rsidR="004D6AB6" w:rsidRPr="08ADB821">
        <w:rPr>
          <w:rFonts w:ascii="Poppins" w:hAnsi="Poppins" w:cs="Poppins"/>
          <w:color w:val="404040" w:themeColor="text1" w:themeTint="BF"/>
        </w:rPr>
        <w:t xml:space="preserve"> saw gross sales remaining at </w:t>
      </w:r>
      <w:bookmarkStart w:id="5" w:name="_Int_lcgb5rI3"/>
      <w:r w:rsidR="004D6AB6" w:rsidRPr="08ADB821">
        <w:rPr>
          <w:rFonts w:ascii="Poppins" w:hAnsi="Poppins" w:cs="Poppins"/>
          <w:color w:val="404040" w:themeColor="text1" w:themeTint="BF"/>
        </w:rPr>
        <w:t>a high level</w:t>
      </w:r>
      <w:bookmarkEnd w:id="5"/>
      <w:r w:rsidR="004D6AB6" w:rsidRPr="08ADB821">
        <w:rPr>
          <w:rFonts w:ascii="Poppins" w:hAnsi="Poppins" w:cs="Poppins"/>
          <w:color w:val="404040" w:themeColor="text1" w:themeTint="BF"/>
        </w:rPr>
        <w:t>,</w:t>
      </w:r>
      <w:r w:rsidR="00534CE0" w:rsidRPr="08ADB821">
        <w:rPr>
          <w:rFonts w:ascii="Poppins" w:hAnsi="Poppins" w:cs="Poppins"/>
          <w:color w:val="404040" w:themeColor="text1" w:themeTint="BF"/>
        </w:rPr>
        <w:t xml:space="preserve"> </w:t>
      </w:r>
      <w:r w:rsidR="001E6738" w:rsidRPr="08ADB821">
        <w:rPr>
          <w:rFonts w:ascii="Poppins" w:hAnsi="Poppins" w:cs="Poppins"/>
          <w:color w:val="404040" w:themeColor="text1" w:themeTint="BF"/>
        </w:rPr>
        <w:t xml:space="preserve">and this year are </w:t>
      </w:r>
      <w:r w:rsidR="0006724C" w:rsidRPr="08ADB821">
        <w:rPr>
          <w:rFonts w:ascii="Poppins" w:hAnsi="Poppins" w:cs="Poppins"/>
          <w:color w:val="404040" w:themeColor="text1" w:themeTint="BF"/>
        </w:rPr>
        <w:t xml:space="preserve">close to the </w:t>
      </w:r>
      <w:r w:rsidR="005330A2" w:rsidRPr="08ADB821">
        <w:rPr>
          <w:rFonts w:ascii="Poppins" w:hAnsi="Poppins" w:cs="Poppins"/>
          <w:color w:val="404040" w:themeColor="text1" w:themeTint="BF"/>
        </w:rPr>
        <w:t>sorts of numbers we saw in 2021</w:t>
      </w:r>
      <w:r w:rsidR="00966BCF" w:rsidRPr="08ADB821">
        <w:rPr>
          <w:rFonts w:ascii="Poppins" w:hAnsi="Poppins" w:cs="Poppins"/>
          <w:color w:val="404040" w:themeColor="text1" w:themeTint="BF"/>
        </w:rPr>
        <w:t>,</w:t>
      </w:r>
      <w:r w:rsidR="005330A2" w:rsidRPr="08ADB821">
        <w:rPr>
          <w:rFonts w:ascii="Poppins" w:hAnsi="Poppins" w:cs="Poppins"/>
          <w:color w:val="404040" w:themeColor="text1" w:themeTint="BF"/>
        </w:rPr>
        <w:t xml:space="preserve"> which </w:t>
      </w:r>
      <w:r w:rsidR="692AE70A" w:rsidRPr="08ADB821">
        <w:rPr>
          <w:rFonts w:ascii="Poppins" w:hAnsi="Poppins" w:cs="Poppins"/>
          <w:color w:val="404040" w:themeColor="text1" w:themeTint="BF"/>
        </w:rPr>
        <w:t>was record</w:t>
      </w:r>
      <w:r w:rsidR="005330A2" w:rsidRPr="08ADB821">
        <w:rPr>
          <w:rFonts w:ascii="Poppins" w:hAnsi="Poppins" w:cs="Poppins"/>
          <w:color w:val="404040" w:themeColor="text1" w:themeTint="BF"/>
        </w:rPr>
        <w:t xml:space="preserve">-breaking. </w:t>
      </w:r>
      <w:bookmarkStart w:id="6" w:name="_Int_V10SIg9b"/>
      <w:r w:rsidR="008F4E99" w:rsidRPr="08ADB821">
        <w:rPr>
          <w:rFonts w:ascii="Poppins" w:hAnsi="Poppins" w:cs="Poppins"/>
          <w:color w:val="404040" w:themeColor="text1" w:themeTint="BF"/>
        </w:rPr>
        <w:t>We’re</w:t>
      </w:r>
      <w:bookmarkEnd w:id="6"/>
      <w:r w:rsidR="008F4E99" w:rsidRPr="08ADB821">
        <w:rPr>
          <w:rFonts w:ascii="Poppins" w:hAnsi="Poppins" w:cs="Poppins"/>
          <w:color w:val="404040" w:themeColor="text1" w:themeTint="BF"/>
        </w:rPr>
        <w:t xml:space="preserve"> expecting this trend to </w:t>
      </w:r>
      <w:r w:rsidR="00B0031C" w:rsidRPr="08ADB821">
        <w:rPr>
          <w:rFonts w:ascii="Poppins" w:hAnsi="Poppins" w:cs="Poppins"/>
          <w:color w:val="404040" w:themeColor="text1" w:themeTint="BF"/>
        </w:rPr>
        <w:t xml:space="preserve">continue into the last quarter. </w:t>
      </w:r>
    </w:p>
    <w:p w14:paraId="0767A725" w14:textId="77777777" w:rsidR="00B0031C" w:rsidRPr="00E21F1A" w:rsidRDefault="00B0031C" w:rsidP="004053DB">
      <w:pPr>
        <w:rPr>
          <w:rFonts w:ascii="Poppins" w:hAnsi="Poppins" w:cs="Poppins"/>
          <w:bCs/>
          <w:color w:val="404040" w:themeColor="text1" w:themeTint="BF"/>
        </w:rPr>
      </w:pPr>
    </w:p>
    <w:p w14:paraId="689941D2" w14:textId="56C91B19" w:rsidR="00A9656B" w:rsidRPr="00E21F1A" w:rsidRDefault="00B0031C" w:rsidP="53F7BE76">
      <w:pPr>
        <w:rPr>
          <w:rFonts w:ascii="Poppins" w:hAnsi="Poppins" w:cs="Poppins"/>
          <w:color w:val="404040" w:themeColor="text1" w:themeTint="BF"/>
        </w:rPr>
      </w:pPr>
      <w:r w:rsidRPr="08ADB821">
        <w:rPr>
          <w:rFonts w:ascii="Poppins" w:hAnsi="Poppins" w:cs="Poppins"/>
          <w:color w:val="404040" w:themeColor="text1" w:themeTint="BF"/>
        </w:rPr>
        <w:t>“</w:t>
      </w:r>
      <w:r w:rsidR="0056379D" w:rsidRPr="08ADB821">
        <w:rPr>
          <w:rFonts w:ascii="Poppins" w:hAnsi="Poppins" w:cs="Poppins"/>
          <w:color w:val="404040" w:themeColor="text1" w:themeTint="BF"/>
        </w:rPr>
        <w:t xml:space="preserve">Last time out we suggested that outflows </w:t>
      </w:r>
      <w:r w:rsidR="007300BC" w:rsidRPr="08ADB821">
        <w:rPr>
          <w:rFonts w:ascii="Poppins" w:hAnsi="Poppins" w:cs="Poppins"/>
          <w:color w:val="404040" w:themeColor="text1" w:themeTint="BF"/>
        </w:rPr>
        <w:t xml:space="preserve">have </w:t>
      </w:r>
      <w:bookmarkStart w:id="7" w:name="_Int_qnRaEPJa"/>
      <w:r w:rsidR="77A0674F" w:rsidRPr="08ADB821">
        <w:rPr>
          <w:rFonts w:ascii="Poppins" w:hAnsi="Poppins" w:cs="Poppins"/>
          <w:color w:val="404040" w:themeColor="text1" w:themeTint="BF"/>
        </w:rPr>
        <w:t xml:space="preserve">probably </w:t>
      </w:r>
      <w:bookmarkStart w:id="8" w:name="_Int_Nd682vK5"/>
      <w:r w:rsidR="38B56B40" w:rsidRPr="08ADB821">
        <w:rPr>
          <w:rFonts w:ascii="Poppins" w:hAnsi="Poppins" w:cs="Poppins"/>
          <w:color w:val="404040" w:themeColor="text1" w:themeTint="BF"/>
        </w:rPr>
        <w:t>just</w:t>
      </w:r>
      <w:bookmarkEnd w:id="7"/>
      <w:r w:rsidR="0056379D" w:rsidRPr="08ADB821">
        <w:rPr>
          <w:rFonts w:ascii="Poppins" w:hAnsi="Poppins" w:cs="Poppins"/>
          <w:color w:val="404040" w:themeColor="text1" w:themeTint="BF"/>
        </w:rPr>
        <w:t xml:space="preserve"> about hit</w:t>
      </w:r>
      <w:bookmarkEnd w:id="8"/>
      <w:r w:rsidR="0056379D" w:rsidRPr="08ADB821">
        <w:rPr>
          <w:rFonts w:ascii="Poppins" w:hAnsi="Poppins" w:cs="Poppins"/>
          <w:color w:val="404040" w:themeColor="text1" w:themeTint="BF"/>
        </w:rPr>
        <w:t xml:space="preserve"> their peak </w:t>
      </w:r>
      <w:r w:rsidR="00A8629B" w:rsidRPr="08ADB821">
        <w:rPr>
          <w:rFonts w:ascii="Poppins" w:hAnsi="Poppins" w:cs="Poppins"/>
          <w:color w:val="404040" w:themeColor="text1" w:themeTint="BF"/>
        </w:rPr>
        <w:t xml:space="preserve">and </w:t>
      </w:r>
      <w:r w:rsidR="006207D8" w:rsidRPr="08ADB821">
        <w:rPr>
          <w:rFonts w:ascii="Poppins" w:hAnsi="Poppins" w:cs="Poppins"/>
          <w:color w:val="404040" w:themeColor="text1" w:themeTint="BF"/>
        </w:rPr>
        <w:t xml:space="preserve">this time </w:t>
      </w:r>
      <w:bookmarkStart w:id="9" w:name="_Int_vlrKJD6h"/>
      <w:r w:rsidR="006207D8" w:rsidRPr="08ADB821">
        <w:rPr>
          <w:rFonts w:ascii="Poppins" w:hAnsi="Poppins" w:cs="Poppins"/>
          <w:color w:val="404040" w:themeColor="text1" w:themeTint="BF"/>
        </w:rPr>
        <w:t>they’re</w:t>
      </w:r>
      <w:bookmarkEnd w:id="9"/>
      <w:r w:rsidR="006207D8" w:rsidRPr="08ADB821">
        <w:rPr>
          <w:rFonts w:ascii="Poppins" w:hAnsi="Poppins" w:cs="Poppins"/>
          <w:color w:val="404040" w:themeColor="text1" w:themeTint="BF"/>
        </w:rPr>
        <w:t xml:space="preserve"> lower</w:t>
      </w:r>
      <w:r w:rsidR="0084561A" w:rsidRPr="08ADB821">
        <w:rPr>
          <w:rFonts w:ascii="Poppins" w:hAnsi="Poppins" w:cs="Poppins"/>
          <w:color w:val="404040" w:themeColor="text1" w:themeTint="BF"/>
        </w:rPr>
        <w:t>, albeit only just</w:t>
      </w:r>
      <w:r w:rsidR="00E55B2D" w:rsidRPr="08ADB821">
        <w:rPr>
          <w:rFonts w:ascii="Poppins" w:hAnsi="Poppins" w:cs="Poppins"/>
          <w:color w:val="404040" w:themeColor="text1" w:themeTint="BF"/>
        </w:rPr>
        <w:t>.</w:t>
      </w:r>
      <w:r w:rsidR="0084561A" w:rsidRPr="08ADB821">
        <w:rPr>
          <w:rFonts w:ascii="Poppins" w:hAnsi="Poppins" w:cs="Poppins"/>
          <w:color w:val="404040" w:themeColor="text1" w:themeTint="BF"/>
        </w:rPr>
        <w:t xml:space="preserve"> </w:t>
      </w:r>
      <w:r w:rsidR="000A3B5B" w:rsidRPr="08ADB821">
        <w:rPr>
          <w:rFonts w:ascii="Poppins" w:hAnsi="Poppins" w:cs="Poppins"/>
          <w:color w:val="404040" w:themeColor="text1" w:themeTint="BF"/>
        </w:rPr>
        <w:t>B</w:t>
      </w:r>
      <w:r w:rsidR="0084561A" w:rsidRPr="08ADB821">
        <w:rPr>
          <w:rFonts w:ascii="Poppins" w:hAnsi="Poppins" w:cs="Poppins"/>
          <w:color w:val="404040" w:themeColor="text1" w:themeTint="BF"/>
        </w:rPr>
        <w:t>ut</w:t>
      </w:r>
      <w:r w:rsidR="00596BCD" w:rsidRPr="08ADB821">
        <w:rPr>
          <w:rFonts w:ascii="Poppins" w:hAnsi="Poppins" w:cs="Poppins"/>
          <w:color w:val="404040" w:themeColor="text1" w:themeTint="BF"/>
        </w:rPr>
        <w:t xml:space="preserve"> </w:t>
      </w:r>
      <w:bookmarkStart w:id="10" w:name="_Int_ynSA3Qei"/>
      <w:r w:rsidR="00596BCD" w:rsidRPr="08ADB821">
        <w:rPr>
          <w:rFonts w:ascii="Poppins" w:hAnsi="Poppins" w:cs="Poppins"/>
          <w:color w:val="404040" w:themeColor="text1" w:themeTint="BF"/>
        </w:rPr>
        <w:t>we’ve</w:t>
      </w:r>
      <w:bookmarkEnd w:id="10"/>
      <w:r w:rsidR="00596BCD" w:rsidRPr="08ADB821">
        <w:rPr>
          <w:rFonts w:ascii="Poppins" w:hAnsi="Poppins" w:cs="Poppins"/>
          <w:color w:val="404040" w:themeColor="text1" w:themeTint="BF"/>
        </w:rPr>
        <w:t xml:space="preserve"> revised our thinking </w:t>
      </w:r>
      <w:r w:rsidR="00CC07E1" w:rsidRPr="08ADB821">
        <w:rPr>
          <w:rFonts w:ascii="Poppins" w:hAnsi="Poppins" w:cs="Poppins"/>
          <w:color w:val="404040" w:themeColor="text1" w:themeTint="BF"/>
        </w:rPr>
        <w:t>on where the</w:t>
      </w:r>
      <w:r w:rsidR="0030447C" w:rsidRPr="08ADB821">
        <w:rPr>
          <w:rFonts w:ascii="Poppins" w:hAnsi="Poppins" w:cs="Poppins"/>
          <w:color w:val="404040" w:themeColor="text1" w:themeTint="BF"/>
        </w:rPr>
        <w:t xml:space="preserve"> </w:t>
      </w:r>
      <w:r w:rsidR="157F9D05" w:rsidRPr="08ADB821">
        <w:rPr>
          <w:rFonts w:ascii="Poppins" w:hAnsi="Poppins" w:cs="Poppins"/>
          <w:color w:val="404040" w:themeColor="text1" w:themeTint="BF"/>
        </w:rPr>
        <w:t>these</w:t>
      </w:r>
      <w:r w:rsidR="0030447C" w:rsidRPr="08ADB821">
        <w:rPr>
          <w:rFonts w:ascii="Poppins" w:hAnsi="Poppins" w:cs="Poppins"/>
          <w:color w:val="404040" w:themeColor="text1" w:themeTint="BF"/>
        </w:rPr>
        <w:t xml:space="preserve"> might settle at a new ‘normal’ following the Budget announcements</w:t>
      </w:r>
      <w:r w:rsidR="00A9656B" w:rsidRPr="08ADB821">
        <w:rPr>
          <w:rFonts w:ascii="Poppins" w:hAnsi="Poppins" w:cs="Poppins"/>
          <w:color w:val="404040" w:themeColor="text1" w:themeTint="BF"/>
        </w:rPr>
        <w:t>.</w:t>
      </w:r>
    </w:p>
    <w:p w14:paraId="53C249FC" w14:textId="77777777" w:rsidR="00A9656B" w:rsidRPr="00E21F1A" w:rsidRDefault="00A9656B" w:rsidP="004053DB">
      <w:pPr>
        <w:rPr>
          <w:rFonts w:ascii="Poppins" w:hAnsi="Poppins" w:cs="Poppins"/>
          <w:bCs/>
          <w:color w:val="404040" w:themeColor="text1" w:themeTint="BF"/>
        </w:rPr>
      </w:pPr>
    </w:p>
    <w:p w14:paraId="0C899F98" w14:textId="343C5478" w:rsidR="00D7187A" w:rsidRPr="00E21F1A" w:rsidRDefault="00A9656B" w:rsidP="08ADB821">
      <w:pPr>
        <w:rPr>
          <w:rFonts w:ascii="Poppins" w:hAnsi="Poppins" w:cs="Poppins"/>
          <w:color w:val="404040" w:themeColor="text1" w:themeTint="BF"/>
        </w:rPr>
      </w:pPr>
      <w:r w:rsidRPr="08ADB821">
        <w:rPr>
          <w:rFonts w:ascii="Poppins" w:hAnsi="Poppins" w:cs="Poppins"/>
          <w:color w:val="404040" w:themeColor="text1" w:themeTint="BF"/>
        </w:rPr>
        <w:t>“</w:t>
      </w:r>
      <w:r w:rsidR="00E160AE" w:rsidRPr="08ADB821">
        <w:rPr>
          <w:rFonts w:ascii="Poppins" w:hAnsi="Poppins" w:cs="Poppins"/>
          <w:color w:val="404040" w:themeColor="text1" w:themeTint="BF"/>
        </w:rPr>
        <w:t xml:space="preserve">Pensions have dictated platform growth for </w:t>
      </w:r>
      <w:r w:rsidR="005C6776" w:rsidRPr="08ADB821">
        <w:rPr>
          <w:rFonts w:ascii="Poppins" w:hAnsi="Poppins" w:cs="Poppins"/>
          <w:color w:val="404040" w:themeColor="text1" w:themeTint="BF"/>
        </w:rPr>
        <w:t xml:space="preserve">many years, and the legislation </w:t>
      </w:r>
      <w:r w:rsidR="00570E3B" w:rsidRPr="08ADB821">
        <w:rPr>
          <w:rFonts w:ascii="Poppins" w:hAnsi="Poppins" w:cs="Poppins"/>
          <w:color w:val="404040" w:themeColor="text1" w:themeTint="BF"/>
        </w:rPr>
        <w:t xml:space="preserve">and conditions have </w:t>
      </w:r>
      <w:bookmarkStart w:id="11" w:name="_Int_uRpAkoyK"/>
      <w:r w:rsidR="00570E3B" w:rsidRPr="08ADB821">
        <w:rPr>
          <w:rFonts w:ascii="Poppins" w:hAnsi="Poppins" w:cs="Poppins"/>
          <w:color w:val="404040" w:themeColor="text1" w:themeTint="BF"/>
        </w:rPr>
        <w:t>largely been</w:t>
      </w:r>
      <w:bookmarkEnd w:id="11"/>
      <w:r w:rsidR="00570E3B" w:rsidRPr="08ADB821">
        <w:rPr>
          <w:rFonts w:ascii="Poppins" w:hAnsi="Poppins" w:cs="Poppins"/>
          <w:color w:val="404040" w:themeColor="text1" w:themeTint="BF"/>
        </w:rPr>
        <w:t xml:space="preserve"> favourable. </w:t>
      </w:r>
      <w:r w:rsidR="0025210C" w:rsidRPr="08ADB821">
        <w:rPr>
          <w:rFonts w:ascii="Poppins" w:hAnsi="Poppins" w:cs="Poppins"/>
          <w:color w:val="404040" w:themeColor="text1" w:themeTint="BF"/>
        </w:rPr>
        <w:t>T</w:t>
      </w:r>
      <w:r w:rsidR="00324CCC" w:rsidRPr="08ADB821">
        <w:rPr>
          <w:rFonts w:ascii="Poppins" w:hAnsi="Poppins" w:cs="Poppins"/>
          <w:color w:val="404040" w:themeColor="text1" w:themeTint="BF"/>
        </w:rPr>
        <w:t>he Budget announcement that</w:t>
      </w:r>
      <w:r w:rsidR="00570E3B" w:rsidRPr="08ADB821">
        <w:rPr>
          <w:rFonts w:ascii="Poppins" w:hAnsi="Poppins" w:cs="Poppins"/>
          <w:color w:val="404040" w:themeColor="text1" w:themeTint="BF"/>
        </w:rPr>
        <w:t xml:space="preserve"> </w:t>
      </w:r>
      <w:r w:rsidR="00D7187A" w:rsidRPr="08ADB821">
        <w:rPr>
          <w:rFonts w:ascii="Poppins" w:hAnsi="Poppins" w:cs="Poppins"/>
          <w:color w:val="404040" w:themeColor="text1" w:themeTint="BF"/>
        </w:rPr>
        <w:t>inherited</w:t>
      </w:r>
      <w:r w:rsidR="00DA7299" w:rsidRPr="08ADB821">
        <w:rPr>
          <w:rFonts w:ascii="Poppins" w:hAnsi="Poppins" w:cs="Poppins"/>
          <w:color w:val="404040" w:themeColor="text1" w:themeTint="BF"/>
        </w:rPr>
        <w:t xml:space="preserve">, </w:t>
      </w:r>
      <w:r w:rsidR="00D7187A" w:rsidRPr="08ADB821">
        <w:rPr>
          <w:rFonts w:ascii="Poppins" w:hAnsi="Poppins" w:cs="Poppins"/>
          <w:color w:val="404040" w:themeColor="text1" w:themeTint="BF"/>
        </w:rPr>
        <w:t>unspent pensions will be brought into the inheritance tax regime from April 2027</w:t>
      </w:r>
      <w:r w:rsidR="00B97168" w:rsidRPr="08ADB821">
        <w:rPr>
          <w:rFonts w:ascii="Poppins" w:hAnsi="Poppins" w:cs="Poppins"/>
          <w:color w:val="404040" w:themeColor="text1" w:themeTint="BF"/>
        </w:rPr>
        <w:t xml:space="preserve"> will have a gradual effect on </w:t>
      </w:r>
      <w:r w:rsidR="00516EF6" w:rsidRPr="08ADB821">
        <w:rPr>
          <w:rFonts w:ascii="Poppins" w:hAnsi="Poppins" w:cs="Poppins"/>
          <w:color w:val="404040" w:themeColor="text1" w:themeTint="BF"/>
        </w:rPr>
        <w:t xml:space="preserve">new and existing business. </w:t>
      </w:r>
    </w:p>
    <w:p w14:paraId="4FB71A67" w14:textId="77777777" w:rsidR="00D7187A" w:rsidRPr="00E21F1A" w:rsidRDefault="00D7187A" w:rsidP="00570E3B">
      <w:pPr>
        <w:rPr>
          <w:rFonts w:ascii="Poppins" w:hAnsi="Poppins" w:cs="Poppins"/>
          <w:bCs/>
          <w:color w:val="404040" w:themeColor="text1" w:themeTint="BF"/>
        </w:rPr>
      </w:pPr>
    </w:p>
    <w:p w14:paraId="190B0A55" w14:textId="2B5B01AD" w:rsidR="00570E3B" w:rsidRPr="00E21F1A" w:rsidRDefault="00516EF6" w:rsidP="53F7BE76">
      <w:pPr>
        <w:rPr>
          <w:rFonts w:ascii="Poppins" w:hAnsi="Poppins" w:cs="Poppins"/>
          <w:color w:val="404040" w:themeColor="text1" w:themeTint="BF"/>
        </w:rPr>
      </w:pPr>
      <w:r w:rsidRPr="08ADB821">
        <w:rPr>
          <w:rFonts w:ascii="Poppins" w:hAnsi="Poppins" w:cs="Poppins"/>
          <w:color w:val="404040" w:themeColor="text1" w:themeTint="BF"/>
        </w:rPr>
        <w:t>“</w:t>
      </w:r>
      <w:r w:rsidR="00570E3B" w:rsidRPr="08ADB821">
        <w:rPr>
          <w:rFonts w:ascii="Poppins" w:hAnsi="Poppins" w:cs="Poppins"/>
          <w:color w:val="404040" w:themeColor="text1" w:themeTint="BF"/>
        </w:rPr>
        <w:t xml:space="preserve">While </w:t>
      </w:r>
      <w:bookmarkStart w:id="12" w:name="_Int_fgjPjHMg"/>
      <w:r w:rsidR="00570E3B" w:rsidRPr="08ADB821">
        <w:rPr>
          <w:rFonts w:ascii="Poppins" w:hAnsi="Poppins" w:cs="Poppins"/>
          <w:color w:val="404040" w:themeColor="text1" w:themeTint="BF"/>
        </w:rPr>
        <w:t>there’s</w:t>
      </w:r>
      <w:bookmarkEnd w:id="12"/>
      <w:r w:rsidR="00570E3B" w:rsidRPr="08ADB821">
        <w:rPr>
          <w:rFonts w:ascii="Poppins" w:hAnsi="Poppins" w:cs="Poppins"/>
          <w:color w:val="404040" w:themeColor="text1" w:themeTint="BF"/>
        </w:rPr>
        <w:t xml:space="preserve"> still a whole lot of detail to be ironed out, we think this means there will be an extra incentive to consolidate existing pensions to help cut down work for beneficiaries. The measure will also likely result in higher outflows as pensions become a less attractive vehicle for passing down wealth. </w:t>
      </w:r>
    </w:p>
    <w:p w14:paraId="7B09564C" w14:textId="77777777" w:rsidR="00E7217C" w:rsidRPr="00E21F1A" w:rsidRDefault="00E7217C" w:rsidP="00570E3B">
      <w:pPr>
        <w:rPr>
          <w:rFonts w:ascii="Poppins" w:hAnsi="Poppins" w:cs="Poppins"/>
          <w:bCs/>
          <w:color w:val="404040" w:themeColor="text1" w:themeTint="BF"/>
        </w:rPr>
      </w:pPr>
    </w:p>
    <w:p w14:paraId="17AB9749" w14:textId="4FEB26B1" w:rsidR="00B0031C" w:rsidRPr="00E21F1A" w:rsidRDefault="00E7217C" w:rsidP="00570E3B">
      <w:pPr>
        <w:rPr>
          <w:rFonts w:ascii="Poppins" w:hAnsi="Poppins" w:cs="Poppins"/>
          <w:bCs/>
          <w:color w:val="404040" w:themeColor="text1" w:themeTint="BF"/>
        </w:rPr>
      </w:pPr>
      <w:r w:rsidRPr="08ADB821">
        <w:rPr>
          <w:rFonts w:ascii="Poppins" w:hAnsi="Poppins" w:cs="Poppins"/>
          <w:color w:val="404040" w:themeColor="text1" w:themeTint="BF"/>
        </w:rPr>
        <w:t>“</w:t>
      </w:r>
      <w:r w:rsidR="00570E3B" w:rsidRPr="08ADB821">
        <w:rPr>
          <w:rFonts w:ascii="Poppins" w:hAnsi="Poppins" w:cs="Poppins"/>
          <w:color w:val="404040" w:themeColor="text1" w:themeTint="BF"/>
        </w:rPr>
        <w:t xml:space="preserve">It’s logical to think some pension assets will move into platform bonds, as well as an increase in trust planning </w:t>
      </w:r>
      <w:r w:rsidRPr="08ADB821">
        <w:rPr>
          <w:rFonts w:ascii="Poppins" w:hAnsi="Poppins" w:cs="Poppins"/>
          <w:color w:val="404040" w:themeColor="text1" w:themeTint="BF"/>
        </w:rPr>
        <w:t xml:space="preserve">- </w:t>
      </w:r>
      <w:r w:rsidR="00570E3B" w:rsidRPr="08ADB821">
        <w:rPr>
          <w:rFonts w:ascii="Poppins" w:hAnsi="Poppins" w:cs="Poppins"/>
          <w:color w:val="404040" w:themeColor="text1" w:themeTint="BF"/>
        </w:rPr>
        <w:t>possibly inside a bond too</w:t>
      </w:r>
      <w:r w:rsidRPr="08ADB821">
        <w:rPr>
          <w:rFonts w:ascii="Poppins" w:hAnsi="Poppins" w:cs="Poppins"/>
          <w:color w:val="404040" w:themeColor="text1" w:themeTint="BF"/>
        </w:rPr>
        <w:t xml:space="preserve"> -</w:t>
      </w:r>
      <w:r w:rsidR="00570E3B" w:rsidRPr="08ADB821">
        <w:rPr>
          <w:rFonts w:ascii="Poppins" w:hAnsi="Poppins" w:cs="Poppins"/>
          <w:color w:val="404040" w:themeColor="text1" w:themeTint="BF"/>
        </w:rPr>
        <w:t xml:space="preserve"> and in annuity use</w:t>
      </w:r>
      <w:r w:rsidRPr="08ADB821">
        <w:rPr>
          <w:rFonts w:ascii="Poppins" w:hAnsi="Poppins" w:cs="Poppins"/>
          <w:color w:val="404040" w:themeColor="text1" w:themeTint="BF"/>
        </w:rPr>
        <w:t xml:space="preserve"> if rates continue to be competitive</w:t>
      </w:r>
      <w:r w:rsidR="00570E3B" w:rsidRPr="08ADB821">
        <w:rPr>
          <w:rFonts w:ascii="Poppins" w:hAnsi="Poppins" w:cs="Poppins"/>
          <w:color w:val="404040" w:themeColor="text1" w:themeTint="BF"/>
        </w:rPr>
        <w:t>.</w:t>
      </w:r>
      <w:r w:rsidR="00015820" w:rsidRPr="08ADB821">
        <w:rPr>
          <w:rFonts w:ascii="Poppins" w:hAnsi="Poppins" w:cs="Poppins"/>
          <w:color w:val="404040" w:themeColor="text1" w:themeTint="BF"/>
        </w:rPr>
        <w:t>”</w:t>
      </w:r>
    </w:p>
    <w:p w14:paraId="4226887F" w14:textId="77777777" w:rsidR="00600839" w:rsidRPr="00C03D62" w:rsidRDefault="00600839">
      <w:pPr>
        <w:rPr>
          <w:sz w:val="20"/>
          <w:szCs w:val="20"/>
        </w:rPr>
      </w:pPr>
    </w:p>
    <w:tbl>
      <w:tblPr>
        <w:tblStyle w:val="TableGrid"/>
        <w:tblW w:w="9351" w:type="dxa"/>
        <w:tblLook w:val="04A0" w:firstRow="1" w:lastRow="0" w:firstColumn="1" w:lastColumn="0" w:noHBand="0" w:noVBand="1"/>
      </w:tblPr>
      <w:tblGrid>
        <w:gridCol w:w="1980"/>
        <w:gridCol w:w="1134"/>
        <w:gridCol w:w="283"/>
        <w:gridCol w:w="1843"/>
        <w:gridCol w:w="992"/>
        <w:gridCol w:w="285"/>
        <w:gridCol w:w="1842"/>
        <w:gridCol w:w="992"/>
      </w:tblGrid>
      <w:tr w:rsidR="00600839" w:rsidRPr="00C03D62" w14:paraId="25FC9A20" w14:textId="77777777" w:rsidTr="00D1457F">
        <w:tc>
          <w:tcPr>
            <w:tcW w:w="1980" w:type="dxa"/>
            <w:shd w:val="clear" w:color="auto" w:fill="D9D9D9" w:themeFill="background1" w:themeFillShade="D9"/>
          </w:tcPr>
          <w:p w14:paraId="328F3CD9" w14:textId="77777777" w:rsidR="00600839" w:rsidRPr="00C03D62" w:rsidRDefault="00600839">
            <w:pPr>
              <w:rPr>
                <w:rFonts w:cstheme="minorHAnsi"/>
                <w:color w:val="404040" w:themeColor="text1" w:themeTint="BF"/>
                <w:sz w:val="18"/>
                <w:szCs w:val="18"/>
              </w:rPr>
            </w:pPr>
            <w:r w:rsidRPr="00C03D62">
              <w:rPr>
                <w:rFonts w:cstheme="minorHAnsi"/>
                <w:color w:val="404040" w:themeColor="text1" w:themeTint="BF"/>
                <w:sz w:val="18"/>
                <w:szCs w:val="18"/>
              </w:rPr>
              <w:t>Platform</w:t>
            </w:r>
          </w:p>
        </w:tc>
        <w:tc>
          <w:tcPr>
            <w:tcW w:w="1134" w:type="dxa"/>
            <w:tcBorders>
              <w:right w:val="single" w:sz="4" w:space="0" w:color="auto"/>
            </w:tcBorders>
            <w:shd w:val="clear" w:color="auto" w:fill="D9D9D9" w:themeFill="background1" w:themeFillShade="D9"/>
          </w:tcPr>
          <w:p w14:paraId="3C1E12B2" w14:textId="4A1833FC" w:rsidR="00600839" w:rsidRPr="00C03D62" w:rsidRDefault="00600839">
            <w:pPr>
              <w:rPr>
                <w:rFonts w:cstheme="minorHAnsi"/>
                <w:color w:val="404040" w:themeColor="text1" w:themeTint="BF"/>
                <w:sz w:val="18"/>
                <w:szCs w:val="18"/>
              </w:rPr>
            </w:pPr>
            <w:r w:rsidRPr="00C03D62">
              <w:rPr>
                <w:rFonts w:eastAsia="Times New Roman" w:cstheme="minorHAnsi"/>
                <w:color w:val="404040" w:themeColor="text1" w:themeTint="BF"/>
                <w:sz w:val="18"/>
                <w:szCs w:val="18"/>
                <w:lang w:eastAsia="en-GB"/>
              </w:rPr>
              <w:t xml:space="preserve">Advised AUA </w:t>
            </w:r>
            <w:r w:rsidR="004E4D79" w:rsidRPr="00C03D62">
              <w:rPr>
                <w:rFonts w:eastAsia="Times New Roman" w:cstheme="minorHAnsi"/>
                <w:color w:val="404040" w:themeColor="text1" w:themeTint="BF"/>
                <w:sz w:val="18"/>
                <w:szCs w:val="18"/>
                <w:lang w:eastAsia="en-GB"/>
              </w:rPr>
              <w:t>Q3</w:t>
            </w:r>
            <w:r w:rsidRPr="00C03D62">
              <w:rPr>
                <w:rFonts w:eastAsia="Times New Roman" w:cstheme="minorHAnsi"/>
                <w:color w:val="404040" w:themeColor="text1" w:themeTint="BF"/>
                <w:sz w:val="18"/>
                <w:szCs w:val="18"/>
                <w:lang w:eastAsia="en-GB"/>
              </w:rPr>
              <w:t xml:space="preserve"> 202</w:t>
            </w:r>
            <w:r w:rsidR="003D4905" w:rsidRPr="00C03D62">
              <w:rPr>
                <w:rFonts w:eastAsia="Times New Roman" w:cstheme="minorHAnsi"/>
                <w:color w:val="404040" w:themeColor="text1" w:themeTint="BF"/>
                <w:sz w:val="18"/>
                <w:szCs w:val="18"/>
                <w:lang w:eastAsia="en-GB"/>
              </w:rPr>
              <w:t>4</w:t>
            </w:r>
          </w:p>
        </w:tc>
        <w:tc>
          <w:tcPr>
            <w:tcW w:w="283" w:type="dxa"/>
            <w:tcBorders>
              <w:top w:val="nil"/>
              <w:left w:val="single" w:sz="4" w:space="0" w:color="auto"/>
              <w:bottom w:val="nil"/>
              <w:right w:val="single" w:sz="4" w:space="0" w:color="auto"/>
            </w:tcBorders>
          </w:tcPr>
          <w:p w14:paraId="68C0038A" w14:textId="77777777" w:rsidR="00600839" w:rsidRPr="00C03D62" w:rsidRDefault="00600839">
            <w:pPr>
              <w:rPr>
                <w:rFonts w:cstheme="minorHAnsi"/>
                <w:sz w:val="18"/>
                <w:szCs w:val="18"/>
              </w:rPr>
            </w:pPr>
          </w:p>
        </w:tc>
        <w:tc>
          <w:tcPr>
            <w:tcW w:w="1843" w:type="dxa"/>
            <w:tcBorders>
              <w:left w:val="single" w:sz="4" w:space="0" w:color="auto"/>
            </w:tcBorders>
            <w:shd w:val="clear" w:color="auto" w:fill="D9D9D9" w:themeFill="background1" w:themeFillShade="D9"/>
          </w:tcPr>
          <w:p w14:paraId="2954ACE9" w14:textId="77777777" w:rsidR="00600839" w:rsidRPr="00C03D62" w:rsidRDefault="00600839">
            <w:pPr>
              <w:rPr>
                <w:rFonts w:cstheme="minorHAnsi"/>
                <w:color w:val="404040" w:themeColor="text1" w:themeTint="BF"/>
                <w:sz w:val="18"/>
                <w:szCs w:val="18"/>
              </w:rPr>
            </w:pPr>
            <w:r w:rsidRPr="00C03D62">
              <w:rPr>
                <w:rFonts w:cstheme="minorHAnsi"/>
                <w:color w:val="404040" w:themeColor="text1" w:themeTint="BF"/>
                <w:sz w:val="18"/>
                <w:szCs w:val="18"/>
              </w:rPr>
              <w:t>Platform</w:t>
            </w:r>
          </w:p>
        </w:tc>
        <w:tc>
          <w:tcPr>
            <w:tcW w:w="992" w:type="dxa"/>
            <w:tcBorders>
              <w:right w:val="single" w:sz="4" w:space="0" w:color="auto"/>
            </w:tcBorders>
            <w:shd w:val="clear" w:color="auto" w:fill="D9D9D9" w:themeFill="background1" w:themeFillShade="D9"/>
          </w:tcPr>
          <w:p w14:paraId="307A3013" w14:textId="17C7235A" w:rsidR="00600839" w:rsidRPr="00C03D62" w:rsidRDefault="00600839">
            <w:pPr>
              <w:rPr>
                <w:rFonts w:cstheme="minorHAnsi"/>
                <w:color w:val="404040" w:themeColor="text1" w:themeTint="BF"/>
                <w:sz w:val="18"/>
                <w:szCs w:val="18"/>
              </w:rPr>
            </w:pPr>
            <w:r w:rsidRPr="00C03D62">
              <w:rPr>
                <w:rFonts w:eastAsia="Times New Roman" w:cstheme="minorHAnsi"/>
                <w:color w:val="404040" w:themeColor="text1" w:themeTint="BF"/>
                <w:sz w:val="18"/>
                <w:szCs w:val="18"/>
                <w:lang w:eastAsia="en-GB"/>
              </w:rPr>
              <w:t xml:space="preserve">Advised gross sales </w:t>
            </w:r>
            <w:r w:rsidR="004E4D79" w:rsidRPr="00C03D62">
              <w:rPr>
                <w:rFonts w:eastAsia="Times New Roman" w:cstheme="minorHAnsi"/>
                <w:color w:val="404040" w:themeColor="text1" w:themeTint="BF"/>
                <w:sz w:val="18"/>
                <w:szCs w:val="18"/>
                <w:lang w:eastAsia="en-GB"/>
              </w:rPr>
              <w:t>Q3</w:t>
            </w:r>
            <w:r w:rsidRPr="00C03D62">
              <w:rPr>
                <w:rFonts w:eastAsia="Times New Roman" w:cstheme="minorHAnsi"/>
                <w:color w:val="404040" w:themeColor="text1" w:themeTint="BF"/>
                <w:sz w:val="18"/>
                <w:szCs w:val="18"/>
                <w:lang w:eastAsia="en-GB"/>
              </w:rPr>
              <w:t xml:space="preserve"> 202</w:t>
            </w:r>
            <w:r w:rsidR="003D4905" w:rsidRPr="00C03D62">
              <w:rPr>
                <w:rFonts w:eastAsia="Times New Roman" w:cstheme="minorHAnsi"/>
                <w:color w:val="404040" w:themeColor="text1" w:themeTint="BF"/>
                <w:sz w:val="18"/>
                <w:szCs w:val="18"/>
                <w:lang w:eastAsia="en-GB"/>
              </w:rPr>
              <w:t>4</w:t>
            </w:r>
          </w:p>
        </w:tc>
        <w:tc>
          <w:tcPr>
            <w:tcW w:w="285" w:type="dxa"/>
            <w:tcBorders>
              <w:top w:val="nil"/>
              <w:left w:val="single" w:sz="4" w:space="0" w:color="auto"/>
              <w:bottom w:val="nil"/>
              <w:right w:val="single" w:sz="4" w:space="0" w:color="auto"/>
            </w:tcBorders>
          </w:tcPr>
          <w:p w14:paraId="5A93230A" w14:textId="77777777" w:rsidR="00600839" w:rsidRPr="00C03D62" w:rsidRDefault="00600839">
            <w:pPr>
              <w:rPr>
                <w:rFonts w:cstheme="minorHAnsi"/>
                <w:sz w:val="18"/>
                <w:szCs w:val="18"/>
              </w:rPr>
            </w:pPr>
          </w:p>
        </w:tc>
        <w:tc>
          <w:tcPr>
            <w:tcW w:w="1842" w:type="dxa"/>
            <w:tcBorders>
              <w:left w:val="single" w:sz="4" w:space="0" w:color="auto"/>
            </w:tcBorders>
            <w:shd w:val="clear" w:color="auto" w:fill="D9D9D9" w:themeFill="background1" w:themeFillShade="D9"/>
          </w:tcPr>
          <w:p w14:paraId="59B4242D" w14:textId="77777777" w:rsidR="00600839" w:rsidRPr="00C03D62" w:rsidRDefault="00600839">
            <w:pPr>
              <w:rPr>
                <w:rFonts w:cstheme="minorHAnsi"/>
                <w:color w:val="404040" w:themeColor="text1" w:themeTint="BF"/>
                <w:sz w:val="18"/>
                <w:szCs w:val="18"/>
              </w:rPr>
            </w:pPr>
            <w:r w:rsidRPr="00C03D62">
              <w:rPr>
                <w:rFonts w:cstheme="minorHAnsi"/>
                <w:color w:val="404040" w:themeColor="text1" w:themeTint="BF"/>
                <w:sz w:val="18"/>
                <w:szCs w:val="18"/>
              </w:rPr>
              <w:t>Platform</w:t>
            </w:r>
          </w:p>
        </w:tc>
        <w:tc>
          <w:tcPr>
            <w:tcW w:w="992" w:type="dxa"/>
            <w:shd w:val="clear" w:color="auto" w:fill="D9D9D9" w:themeFill="background1" w:themeFillShade="D9"/>
          </w:tcPr>
          <w:p w14:paraId="6EDCC19D" w14:textId="27B9A8B0" w:rsidR="00600839" w:rsidRPr="00C03D62" w:rsidRDefault="00600839">
            <w:pPr>
              <w:rPr>
                <w:rFonts w:cstheme="minorHAnsi"/>
                <w:color w:val="404040" w:themeColor="text1" w:themeTint="BF"/>
                <w:sz w:val="18"/>
                <w:szCs w:val="18"/>
              </w:rPr>
            </w:pPr>
            <w:r w:rsidRPr="00C03D62">
              <w:rPr>
                <w:rFonts w:eastAsia="Times New Roman" w:cstheme="minorHAnsi"/>
                <w:color w:val="404040" w:themeColor="text1" w:themeTint="BF"/>
                <w:sz w:val="18"/>
                <w:szCs w:val="18"/>
                <w:lang w:eastAsia="en-GB"/>
              </w:rPr>
              <w:t xml:space="preserve">Advised net sales </w:t>
            </w:r>
            <w:r w:rsidR="004E4D79" w:rsidRPr="00C03D62">
              <w:rPr>
                <w:rFonts w:eastAsia="Times New Roman" w:cstheme="minorHAnsi"/>
                <w:color w:val="404040" w:themeColor="text1" w:themeTint="BF"/>
                <w:sz w:val="18"/>
                <w:szCs w:val="18"/>
                <w:lang w:eastAsia="en-GB"/>
              </w:rPr>
              <w:t>Q3</w:t>
            </w:r>
            <w:r w:rsidRPr="00C03D62">
              <w:rPr>
                <w:rFonts w:eastAsia="Times New Roman" w:cstheme="minorHAnsi"/>
                <w:color w:val="404040" w:themeColor="text1" w:themeTint="BF"/>
                <w:sz w:val="18"/>
                <w:szCs w:val="18"/>
                <w:lang w:eastAsia="en-GB"/>
              </w:rPr>
              <w:t xml:space="preserve"> 202</w:t>
            </w:r>
            <w:r w:rsidR="003D4905" w:rsidRPr="00C03D62">
              <w:rPr>
                <w:rFonts w:eastAsia="Times New Roman" w:cstheme="minorHAnsi"/>
                <w:color w:val="404040" w:themeColor="text1" w:themeTint="BF"/>
                <w:sz w:val="18"/>
                <w:szCs w:val="18"/>
                <w:lang w:eastAsia="en-GB"/>
              </w:rPr>
              <w:t>4</w:t>
            </w:r>
          </w:p>
        </w:tc>
      </w:tr>
      <w:tr w:rsidR="00397059" w:rsidRPr="00C03D62" w14:paraId="262E2665" w14:textId="77777777" w:rsidTr="00D1457F">
        <w:tc>
          <w:tcPr>
            <w:tcW w:w="1980" w:type="dxa"/>
          </w:tcPr>
          <w:p w14:paraId="66B17B4A" w14:textId="5BE997CD" w:rsidR="00397059" w:rsidRPr="00C03D62" w:rsidRDefault="00397059" w:rsidP="00397059">
            <w:pPr>
              <w:rPr>
                <w:rFonts w:cstheme="minorHAnsi"/>
                <w:color w:val="404040" w:themeColor="text1" w:themeTint="BF"/>
                <w:sz w:val="18"/>
                <w:szCs w:val="18"/>
              </w:rPr>
            </w:pPr>
            <w:r w:rsidRPr="00C03D62">
              <w:rPr>
                <w:sz w:val="18"/>
                <w:szCs w:val="18"/>
              </w:rPr>
              <w:t>Quilter</w:t>
            </w:r>
          </w:p>
        </w:tc>
        <w:tc>
          <w:tcPr>
            <w:tcW w:w="1134" w:type="dxa"/>
            <w:tcBorders>
              <w:right w:val="single" w:sz="4" w:space="0" w:color="auto"/>
            </w:tcBorders>
          </w:tcPr>
          <w:p w14:paraId="41D3B287" w14:textId="3CB4629E" w:rsidR="00397059" w:rsidRPr="00C03D62" w:rsidRDefault="00397059" w:rsidP="00397059">
            <w:pPr>
              <w:rPr>
                <w:rFonts w:eastAsia="Times New Roman" w:cstheme="minorHAnsi"/>
                <w:color w:val="404040" w:themeColor="text1" w:themeTint="BF"/>
                <w:sz w:val="18"/>
                <w:szCs w:val="18"/>
                <w:lang w:eastAsia="en-GB"/>
              </w:rPr>
            </w:pPr>
            <w:r w:rsidRPr="00C03D62">
              <w:rPr>
                <w:sz w:val="18"/>
                <w:szCs w:val="18"/>
              </w:rPr>
              <w:t>£82.58bn</w:t>
            </w:r>
          </w:p>
        </w:tc>
        <w:tc>
          <w:tcPr>
            <w:tcW w:w="283" w:type="dxa"/>
            <w:tcBorders>
              <w:top w:val="nil"/>
              <w:left w:val="single" w:sz="4" w:space="0" w:color="auto"/>
              <w:bottom w:val="nil"/>
              <w:right w:val="single" w:sz="4" w:space="0" w:color="auto"/>
            </w:tcBorders>
          </w:tcPr>
          <w:p w14:paraId="7174CD6A" w14:textId="77777777" w:rsidR="00397059" w:rsidRPr="00C03D62" w:rsidRDefault="00397059" w:rsidP="00397059">
            <w:pPr>
              <w:rPr>
                <w:rFonts w:cstheme="minorHAnsi"/>
                <w:sz w:val="18"/>
                <w:szCs w:val="18"/>
              </w:rPr>
            </w:pPr>
          </w:p>
        </w:tc>
        <w:tc>
          <w:tcPr>
            <w:tcW w:w="1843" w:type="dxa"/>
            <w:tcBorders>
              <w:left w:val="single" w:sz="4" w:space="0" w:color="auto"/>
            </w:tcBorders>
          </w:tcPr>
          <w:p w14:paraId="28F95CB0" w14:textId="6538E89C" w:rsidR="00397059" w:rsidRPr="00C03D62" w:rsidRDefault="00397059" w:rsidP="00397059">
            <w:pPr>
              <w:rPr>
                <w:rFonts w:cstheme="minorHAnsi"/>
                <w:color w:val="404040" w:themeColor="text1" w:themeTint="BF"/>
                <w:sz w:val="18"/>
                <w:szCs w:val="18"/>
              </w:rPr>
            </w:pPr>
            <w:r w:rsidRPr="00C03D62">
              <w:rPr>
                <w:sz w:val="18"/>
                <w:szCs w:val="18"/>
              </w:rPr>
              <w:t>Quilter</w:t>
            </w:r>
          </w:p>
        </w:tc>
        <w:tc>
          <w:tcPr>
            <w:tcW w:w="992" w:type="dxa"/>
            <w:tcBorders>
              <w:right w:val="single" w:sz="4" w:space="0" w:color="auto"/>
            </w:tcBorders>
          </w:tcPr>
          <w:p w14:paraId="0165851D" w14:textId="6ED2B6A1" w:rsidR="00397059" w:rsidRPr="00C03D62" w:rsidRDefault="00397059" w:rsidP="00397059">
            <w:pPr>
              <w:rPr>
                <w:rFonts w:eastAsia="Times New Roman" w:cstheme="minorHAnsi"/>
                <w:color w:val="404040" w:themeColor="text1" w:themeTint="BF"/>
                <w:sz w:val="18"/>
                <w:szCs w:val="18"/>
                <w:lang w:eastAsia="en-GB"/>
              </w:rPr>
            </w:pPr>
            <w:r w:rsidRPr="00C03D62">
              <w:rPr>
                <w:sz w:val="18"/>
                <w:szCs w:val="18"/>
              </w:rPr>
              <w:t>£3.09bn</w:t>
            </w:r>
          </w:p>
        </w:tc>
        <w:tc>
          <w:tcPr>
            <w:tcW w:w="285" w:type="dxa"/>
            <w:tcBorders>
              <w:top w:val="nil"/>
              <w:left w:val="single" w:sz="4" w:space="0" w:color="auto"/>
              <w:bottom w:val="nil"/>
              <w:right w:val="single" w:sz="4" w:space="0" w:color="auto"/>
            </w:tcBorders>
          </w:tcPr>
          <w:p w14:paraId="2EB04D5A" w14:textId="77777777" w:rsidR="00397059" w:rsidRPr="00C03D62" w:rsidRDefault="00397059" w:rsidP="00397059">
            <w:pPr>
              <w:rPr>
                <w:rFonts w:cstheme="minorHAnsi"/>
                <w:sz w:val="18"/>
                <w:szCs w:val="18"/>
              </w:rPr>
            </w:pPr>
          </w:p>
        </w:tc>
        <w:tc>
          <w:tcPr>
            <w:tcW w:w="1842" w:type="dxa"/>
            <w:tcBorders>
              <w:left w:val="single" w:sz="4" w:space="0" w:color="auto"/>
            </w:tcBorders>
          </w:tcPr>
          <w:p w14:paraId="3C9448CB" w14:textId="60C2C2DB" w:rsidR="00397059" w:rsidRPr="00397059" w:rsidRDefault="00397059" w:rsidP="00397059">
            <w:pPr>
              <w:rPr>
                <w:rFonts w:cstheme="minorHAnsi"/>
                <w:color w:val="404040" w:themeColor="text1" w:themeTint="BF"/>
                <w:sz w:val="18"/>
                <w:szCs w:val="18"/>
              </w:rPr>
            </w:pPr>
            <w:r w:rsidRPr="00397059">
              <w:rPr>
                <w:sz w:val="18"/>
                <w:szCs w:val="18"/>
              </w:rPr>
              <w:t>Quilter</w:t>
            </w:r>
          </w:p>
        </w:tc>
        <w:tc>
          <w:tcPr>
            <w:tcW w:w="992" w:type="dxa"/>
          </w:tcPr>
          <w:p w14:paraId="1FB96396" w14:textId="2C6C5222" w:rsidR="00397059" w:rsidRPr="00C03D62" w:rsidRDefault="00397059" w:rsidP="00397059">
            <w:pPr>
              <w:rPr>
                <w:rFonts w:eastAsia="Times New Roman" w:cstheme="minorHAnsi"/>
                <w:color w:val="404040" w:themeColor="text1" w:themeTint="BF"/>
                <w:sz w:val="18"/>
                <w:szCs w:val="18"/>
                <w:lang w:eastAsia="en-GB"/>
              </w:rPr>
            </w:pPr>
            <w:r w:rsidRPr="00C03D62">
              <w:rPr>
                <w:sz w:val="18"/>
                <w:szCs w:val="18"/>
              </w:rPr>
              <w:t>£1.44bn</w:t>
            </w:r>
          </w:p>
        </w:tc>
      </w:tr>
      <w:tr w:rsidR="00397059" w:rsidRPr="00C03D62" w14:paraId="3998E914" w14:textId="77777777" w:rsidTr="00D1457F">
        <w:tc>
          <w:tcPr>
            <w:tcW w:w="1980" w:type="dxa"/>
          </w:tcPr>
          <w:p w14:paraId="5383AD4F" w14:textId="5848C85B" w:rsidR="00397059" w:rsidRPr="00C03D62" w:rsidRDefault="00397059" w:rsidP="00397059">
            <w:pPr>
              <w:rPr>
                <w:rFonts w:cstheme="minorHAnsi"/>
                <w:color w:val="404040" w:themeColor="text1" w:themeTint="BF"/>
                <w:sz w:val="18"/>
                <w:szCs w:val="18"/>
              </w:rPr>
            </w:pPr>
            <w:r w:rsidRPr="00C03D62">
              <w:rPr>
                <w:sz w:val="18"/>
                <w:szCs w:val="18"/>
              </w:rPr>
              <w:t>abrdn</w:t>
            </w:r>
          </w:p>
        </w:tc>
        <w:tc>
          <w:tcPr>
            <w:tcW w:w="1134" w:type="dxa"/>
            <w:tcBorders>
              <w:right w:val="single" w:sz="4" w:space="0" w:color="auto"/>
            </w:tcBorders>
          </w:tcPr>
          <w:p w14:paraId="7D9C8783" w14:textId="28ACCA17" w:rsidR="00397059" w:rsidRPr="00C03D62" w:rsidRDefault="00397059" w:rsidP="00397059">
            <w:pPr>
              <w:rPr>
                <w:rFonts w:eastAsia="Times New Roman" w:cstheme="minorHAnsi"/>
                <w:color w:val="404040" w:themeColor="text1" w:themeTint="BF"/>
                <w:sz w:val="18"/>
                <w:szCs w:val="18"/>
                <w:lang w:eastAsia="en-GB"/>
              </w:rPr>
            </w:pPr>
            <w:r w:rsidRPr="00C03D62">
              <w:rPr>
                <w:sz w:val="18"/>
                <w:szCs w:val="18"/>
              </w:rPr>
              <w:t>£72.37bn</w:t>
            </w:r>
          </w:p>
        </w:tc>
        <w:tc>
          <w:tcPr>
            <w:tcW w:w="283" w:type="dxa"/>
            <w:tcBorders>
              <w:top w:val="nil"/>
              <w:left w:val="single" w:sz="4" w:space="0" w:color="auto"/>
              <w:bottom w:val="nil"/>
              <w:right w:val="single" w:sz="4" w:space="0" w:color="auto"/>
            </w:tcBorders>
          </w:tcPr>
          <w:p w14:paraId="7907A84B" w14:textId="77777777" w:rsidR="00397059" w:rsidRPr="00C03D62" w:rsidRDefault="00397059" w:rsidP="00397059">
            <w:pPr>
              <w:rPr>
                <w:rFonts w:cstheme="minorHAnsi"/>
                <w:sz w:val="18"/>
                <w:szCs w:val="18"/>
              </w:rPr>
            </w:pPr>
          </w:p>
        </w:tc>
        <w:tc>
          <w:tcPr>
            <w:tcW w:w="1843" w:type="dxa"/>
            <w:tcBorders>
              <w:left w:val="single" w:sz="4" w:space="0" w:color="auto"/>
            </w:tcBorders>
          </w:tcPr>
          <w:p w14:paraId="35D04141" w14:textId="5389F3A4" w:rsidR="00397059" w:rsidRPr="00C03D62" w:rsidRDefault="00397059" w:rsidP="00397059">
            <w:pPr>
              <w:rPr>
                <w:rFonts w:cstheme="minorHAnsi"/>
                <w:color w:val="404040" w:themeColor="text1" w:themeTint="BF"/>
                <w:sz w:val="18"/>
                <w:szCs w:val="18"/>
              </w:rPr>
            </w:pPr>
            <w:r w:rsidRPr="00C03D62">
              <w:rPr>
                <w:sz w:val="18"/>
                <w:szCs w:val="18"/>
              </w:rPr>
              <w:t>Aviva Platform</w:t>
            </w:r>
          </w:p>
        </w:tc>
        <w:tc>
          <w:tcPr>
            <w:tcW w:w="992" w:type="dxa"/>
            <w:tcBorders>
              <w:right w:val="single" w:sz="4" w:space="0" w:color="auto"/>
            </w:tcBorders>
          </w:tcPr>
          <w:p w14:paraId="116425C5" w14:textId="45DEB8E9" w:rsidR="00397059" w:rsidRPr="00C03D62" w:rsidRDefault="00397059" w:rsidP="00397059">
            <w:pPr>
              <w:rPr>
                <w:rFonts w:eastAsia="Times New Roman"/>
                <w:color w:val="404040" w:themeColor="text1" w:themeTint="BF"/>
                <w:sz w:val="18"/>
                <w:szCs w:val="18"/>
                <w:lang w:eastAsia="en-GB"/>
              </w:rPr>
            </w:pPr>
            <w:r w:rsidRPr="00C03D62">
              <w:rPr>
                <w:sz w:val="18"/>
                <w:szCs w:val="18"/>
              </w:rPr>
              <w:t>£2.31bn</w:t>
            </w:r>
          </w:p>
        </w:tc>
        <w:tc>
          <w:tcPr>
            <w:tcW w:w="285" w:type="dxa"/>
            <w:tcBorders>
              <w:top w:val="nil"/>
              <w:left w:val="single" w:sz="4" w:space="0" w:color="auto"/>
              <w:bottom w:val="nil"/>
              <w:right w:val="single" w:sz="4" w:space="0" w:color="auto"/>
            </w:tcBorders>
          </w:tcPr>
          <w:p w14:paraId="4A09B129" w14:textId="77777777" w:rsidR="00397059" w:rsidRPr="00C03D62" w:rsidRDefault="00397059" w:rsidP="00397059">
            <w:pPr>
              <w:rPr>
                <w:rFonts w:cstheme="minorHAnsi"/>
                <w:sz w:val="18"/>
                <w:szCs w:val="18"/>
              </w:rPr>
            </w:pPr>
          </w:p>
        </w:tc>
        <w:tc>
          <w:tcPr>
            <w:tcW w:w="1842" w:type="dxa"/>
            <w:tcBorders>
              <w:left w:val="single" w:sz="4" w:space="0" w:color="auto"/>
            </w:tcBorders>
          </w:tcPr>
          <w:p w14:paraId="70DE4D61" w14:textId="4425159D" w:rsidR="00397059" w:rsidRPr="00397059" w:rsidRDefault="00397059" w:rsidP="00397059">
            <w:pPr>
              <w:rPr>
                <w:rFonts w:cstheme="minorHAnsi"/>
                <w:color w:val="404040" w:themeColor="text1" w:themeTint="BF"/>
                <w:sz w:val="18"/>
                <w:szCs w:val="18"/>
              </w:rPr>
            </w:pPr>
            <w:r w:rsidRPr="00397059">
              <w:rPr>
                <w:sz w:val="18"/>
                <w:szCs w:val="18"/>
              </w:rPr>
              <w:t>Aviva Platform</w:t>
            </w:r>
          </w:p>
        </w:tc>
        <w:tc>
          <w:tcPr>
            <w:tcW w:w="992" w:type="dxa"/>
          </w:tcPr>
          <w:p w14:paraId="1B4B7A20" w14:textId="5D73B085" w:rsidR="00397059" w:rsidRPr="00C03D62" w:rsidRDefault="00397059" w:rsidP="00397059">
            <w:pPr>
              <w:rPr>
                <w:rFonts w:eastAsia="Times New Roman"/>
                <w:color w:val="404040" w:themeColor="text1" w:themeTint="BF"/>
                <w:sz w:val="18"/>
                <w:szCs w:val="18"/>
                <w:lang w:eastAsia="en-GB"/>
              </w:rPr>
            </w:pPr>
            <w:r w:rsidRPr="00C03D62">
              <w:rPr>
                <w:sz w:val="18"/>
                <w:szCs w:val="18"/>
              </w:rPr>
              <w:t>£1.21bn</w:t>
            </w:r>
          </w:p>
        </w:tc>
      </w:tr>
      <w:tr w:rsidR="00397059" w:rsidRPr="00C03D62" w14:paraId="76417680" w14:textId="77777777" w:rsidTr="00D1457F">
        <w:tc>
          <w:tcPr>
            <w:tcW w:w="1980" w:type="dxa"/>
          </w:tcPr>
          <w:p w14:paraId="3A327ABC" w14:textId="0CDEC1D9" w:rsidR="00397059" w:rsidRPr="00C03D62" w:rsidRDefault="00397059" w:rsidP="00397059">
            <w:pPr>
              <w:rPr>
                <w:rFonts w:cstheme="minorHAnsi"/>
                <w:color w:val="404040" w:themeColor="text1" w:themeTint="BF"/>
                <w:sz w:val="18"/>
                <w:szCs w:val="18"/>
              </w:rPr>
            </w:pPr>
            <w:r w:rsidRPr="00C03D62">
              <w:rPr>
                <w:sz w:val="18"/>
                <w:szCs w:val="18"/>
              </w:rPr>
              <w:t>Transact</w:t>
            </w:r>
          </w:p>
        </w:tc>
        <w:tc>
          <w:tcPr>
            <w:tcW w:w="1134" w:type="dxa"/>
            <w:tcBorders>
              <w:right w:val="single" w:sz="4" w:space="0" w:color="auto"/>
            </w:tcBorders>
          </w:tcPr>
          <w:p w14:paraId="3D9B494D" w14:textId="22DF122B" w:rsidR="00397059" w:rsidRPr="00C03D62" w:rsidRDefault="00397059" w:rsidP="00397059">
            <w:pPr>
              <w:rPr>
                <w:rFonts w:eastAsia="Times New Roman" w:cstheme="minorHAnsi"/>
                <w:color w:val="404040" w:themeColor="text1" w:themeTint="BF"/>
                <w:sz w:val="18"/>
                <w:szCs w:val="18"/>
                <w:lang w:eastAsia="en-GB"/>
              </w:rPr>
            </w:pPr>
            <w:r w:rsidRPr="00C03D62">
              <w:rPr>
                <w:sz w:val="18"/>
                <w:szCs w:val="18"/>
              </w:rPr>
              <w:t>£6</w:t>
            </w:r>
            <w:r w:rsidR="007473EC">
              <w:rPr>
                <w:sz w:val="18"/>
                <w:szCs w:val="18"/>
              </w:rPr>
              <w:t>4</w:t>
            </w:r>
            <w:r w:rsidRPr="00C03D62">
              <w:rPr>
                <w:sz w:val="18"/>
                <w:szCs w:val="18"/>
              </w:rPr>
              <w:t>.07bn</w:t>
            </w:r>
          </w:p>
        </w:tc>
        <w:tc>
          <w:tcPr>
            <w:tcW w:w="283" w:type="dxa"/>
            <w:tcBorders>
              <w:top w:val="nil"/>
              <w:left w:val="single" w:sz="4" w:space="0" w:color="auto"/>
              <w:bottom w:val="nil"/>
              <w:right w:val="single" w:sz="4" w:space="0" w:color="auto"/>
            </w:tcBorders>
          </w:tcPr>
          <w:p w14:paraId="0957E1FF" w14:textId="77777777" w:rsidR="00397059" w:rsidRPr="00C03D62" w:rsidRDefault="00397059" w:rsidP="00397059">
            <w:pPr>
              <w:rPr>
                <w:rFonts w:cstheme="minorHAnsi"/>
                <w:sz w:val="18"/>
                <w:szCs w:val="18"/>
              </w:rPr>
            </w:pPr>
          </w:p>
        </w:tc>
        <w:tc>
          <w:tcPr>
            <w:tcW w:w="1843" w:type="dxa"/>
            <w:tcBorders>
              <w:left w:val="single" w:sz="4" w:space="0" w:color="auto"/>
            </w:tcBorders>
          </w:tcPr>
          <w:p w14:paraId="0B85B102" w14:textId="22BB6491" w:rsidR="00397059" w:rsidRPr="00C03D62" w:rsidRDefault="00397059" w:rsidP="00397059">
            <w:pPr>
              <w:rPr>
                <w:rFonts w:cstheme="minorHAnsi"/>
                <w:color w:val="404040" w:themeColor="text1" w:themeTint="BF"/>
                <w:sz w:val="18"/>
                <w:szCs w:val="18"/>
              </w:rPr>
            </w:pPr>
            <w:r w:rsidRPr="00C03D62">
              <w:rPr>
                <w:sz w:val="18"/>
                <w:szCs w:val="18"/>
              </w:rPr>
              <w:t>Transact</w:t>
            </w:r>
          </w:p>
        </w:tc>
        <w:tc>
          <w:tcPr>
            <w:tcW w:w="992" w:type="dxa"/>
            <w:tcBorders>
              <w:right w:val="single" w:sz="4" w:space="0" w:color="auto"/>
            </w:tcBorders>
          </w:tcPr>
          <w:p w14:paraId="22E44423" w14:textId="5189EE0A" w:rsidR="00397059" w:rsidRPr="00C03D62" w:rsidRDefault="00397059" w:rsidP="00397059">
            <w:pPr>
              <w:rPr>
                <w:rFonts w:eastAsia="Times New Roman" w:cstheme="minorHAnsi"/>
                <w:color w:val="404040" w:themeColor="text1" w:themeTint="BF"/>
                <w:sz w:val="18"/>
                <w:szCs w:val="18"/>
                <w:lang w:eastAsia="en-GB"/>
              </w:rPr>
            </w:pPr>
            <w:r w:rsidRPr="00C03D62">
              <w:rPr>
                <w:sz w:val="18"/>
                <w:szCs w:val="18"/>
              </w:rPr>
              <w:t>£2.16bn</w:t>
            </w:r>
          </w:p>
        </w:tc>
        <w:tc>
          <w:tcPr>
            <w:tcW w:w="285" w:type="dxa"/>
            <w:tcBorders>
              <w:top w:val="nil"/>
              <w:left w:val="single" w:sz="4" w:space="0" w:color="auto"/>
              <w:bottom w:val="nil"/>
              <w:right w:val="single" w:sz="4" w:space="0" w:color="auto"/>
            </w:tcBorders>
          </w:tcPr>
          <w:p w14:paraId="2A16C536" w14:textId="77777777" w:rsidR="00397059" w:rsidRPr="00C03D62" w:rsidRDefault="00397059" w:rsidP="00397059">
            <w:pPr>
              <w:rPr>
                <w:rFonts w:cstheme="minorHAnsi"/>
                <w:sz w:val="18"/>
                <w:szCs w:val="18"/>
              </w:rPr>
            </w:pPr>
          </w:p>
        </w:tc>
        <w:tc>
          <w:tcPr>
            <w:tcW w:w="1842" w:type="dxa"/>
            <w:tcBorders>
              <w:left w:val="single" w:sz="4" w:space="0" w:color="auto"/>
            </w:tcBorders>
          </w:tcPr>
          <w:p w14:paraId="469881EE" w14:textId="68133943" w:rsidR="00397059" w:rsidRPr="00397059" w:rsidRDefault="00397059" w:rsidP="00397059">
            <w:pPr>
              <w:rPr>
                <w:rFonts w:cstheme="minorHAnsi"/>
                <w:color w:val="404040" w:themeColor="text1" w:themeTint="BF"/>
                <w:sz w:val="18"/>
                <w:szCs w:val="18"/>
              </w:rPr>
            </w:pPr>
            <w:r w:rsidRPr="00397059">
              <w:rPr>
                <w:sz w:val="18"/>
                <w:szCs w:val="18"/>
              </w:rPr>
              <w:t>Transact</w:t>
            </w:r>
          </w:p>
        </w:tc>
        <w:tc>
          <w:tcPr>
            <w:tcW w:w="992" w:type="dxa"/>
          </w:tcPr>
          <w:p w14:paraId="63BD7514" w14:textId="4FB9FF28" w:rsidR="00397059" w:rsidRPr="00C03D62" w:rsidRDefault="00397059" w:rsidP="00397059">
            <w:pPr>
              <w:rPr>
                <w:rFonts w:eastAsia="Times New Roman" w:cstheme="minorHAnsi"/>
                <w:color w:val="404040" w:themeColor="text1" w:themeTint="BF"/>
                <w:sz w:val="18"/>
                <w:szCs w:val="18"/>
                <w:lang w:eastAsia="en-GB"/>
              </w:rPr>
            </w:pPr>
            <w:r w:rsidRPr="00C03D62">
              <w:rPr>
                <w:sz w:val="18"/>
                <w:szCs w:val="18"/>
              </w:rPr>
              <w:t>£800m</w:t>
            </w:r>
          </w:p>
        </w:tc>
      </w:tr>
      <w:tr w:rsidR="00397059" w:rsidRPr="00C03D62" w14:paraId="1167C0F8" w14:textId="77777777" w:rsidTr="00D1457F">
        <w:tc>
          <w:tcPr>
            <w:tcW w:w="1980" w:type="dxa"/>
          </w:tcPr>
          <w:p w14:paraId="486BFE77" w14:textId="7509ACB4" w:rsidR="00397059" w:rsidRPr="00C03D62" w:rsidRDefault="00397059" w:rsidP="00397059">
            <w:pPr>
              <w:rPr>
                <w:rFonts w:cstheme="minorHAnsi"/>
                <w:color w:val="404040" w:themeColor="text1" w:themeTint="BF"/>
                <w:sz w:val="18"/>
                <w:szCs w:val="18"/>
              </w:rPr>
            </w:pPr>
            <w:r w:rsidRPr="00C03D62">
              <w:rPr>
                <w:sz w:val="18"/>
                <w:szCs w:val="18"/>
              </w:rPr>
              <w:t>AJ Bell Investcentre</w:t>
            </w:r>
          </w:p>
        </w:tc>
        <w:tc>
          <w:tcPr>
            <w:tcW w:w="1134" w:type="dxa"/>
            <w:tcBorders>
              <w:right w:val="single" w:sz="4" w:space="0" w:color="auto"/>
            </w:tcBorders>
          </w:tcPr>
          <w:p w14:paraId="720DFFB5" w14:textId="41813901" w:rsidR="00397059" w:rsidRPr="00C03D62" w:rsidRDefault="00397059" w:rsidP="00397059">
            <w:pPr>
              <w:rPr>
                <w:rFonts w:eastAsia="Times New Roman" w:cstheme="minorHAnsi"/>
                <w:color w:val="404040" w:themeColor="text1" w:themeTint="BF"/>
                <w:sz w:val="18"/>
                <w:szCs w:val="18"/>
                <w:lang w:eastAsia="en-GB"/>
              </w:rPr>
            </w:pPr>
            <w:r w:rsidRPr="00C03D62">
              <w:rPr>
                <w:sz w:val="18"/>
                <w:szCs w:val="18"/>
              </w:rPr>
              <w:t>£56.10bn</w:t>
            </w:r>
          </w:p>
        </w:tc>
        <w:tc>
          <w:tcPr>
            <w:tcW w:w="283" w:type="dxa"/>
            <w:tcBorders>
              <w:top w:val="nil"/>
              <w:left w:val="single" w:sz="4" w:space="0" w:color="auto"/>
              <w:bottom w:val="nil"/>
              <w:right w:val="single" w:sz="4" w:space="0" w:color="auto"/>
            </w:tcBorders>
          </w:tcPr>
          <w:p w14:paraId="1E17B2D9" w14:textId="77777777" w:rsidR="00397059" w:rsidRPr="00C03D62" w:rsidRDefault="00397059" w:rsidP="00397059">
            <w:pPr>
              <w:rPr>
                <w:rFonts w:cstheme="minorHAnsi"/>
                <w:sz w:val="18"/>
                <w:szCs w:val="18"/>
              </w:rPr>
            </w:pPr>
          </w:p>
        </w:tc>
        <w:tc>
          <w:tcPr>
            <w:tcW w:w="1843" w:type="dxa"/>
            <w:tcBorders>
              <w:left w:val="single" w:sz="4" w:space="0" w:color="auto"/>
            </w:tcBorders>
          </w:tcPr>
          <w:p w14:paraId="0E34FE7C" w14:textId="7E47D2B6" w:rsidR="00397059" w:rsidRPr="00C03D62" w:rsidRDefault="00397059" w:rsidP="00397059">
            <w:pPr>
              <w:rPr>
                <w:rFonts w:cstheme="minorHAnsi"/>
                <w:color w:val="404040" w:themeColor="text1" w:themeTint="BF"/>
                <w:sz w:val="18"/>
                <w:szCs w:val="18"/>
              </w:rPr>
            </w:pPr>
            <w:r w:rsidRPr="00C03D62">
              <w:rPr>
                <w:sz w:val="18"/>
                <w:szCs w:val="18"/>
              </w:rPr>
              <w:t>Fidelity Adviser Solutions</w:t>
            </w:r>
          </w:p>
        </w:tc>
        <w:tc>
          <w:tcPr>
            <w:tcW w:w="992" w:type="dxa"/>
            <w:tcBorders>
              <w:right w:val="single" w:sz="4" w:space="0" w:color="auto"/>
            </w:tcBorders>
          </w:tcPr>
          <w:p w14:paraId="221391BF" w14:textId="4A5C1044" w:rsidR="00397059" w:rsidRPr="00C03D62" w:rsidRDefault="00397059" w:rsidP="00397059">
            <w:pPr>
              <w:rPr>
                <w:rFonts w:eastAsia="Times New Roman"/>
                <w:color w:val="404040" w:themeColor="text1" w:themeTint="BF"/>
                <w:sz w:val="18"/>
                <w:szCs w:val="18"/>
                <w:lang w:eastAsia="en-GB"/>
              </w:rPr>
            </w:pPr>
            <w:r w:rsidRPr="00C03D62">
              <w:rPr>
                <w:sz w:val="18"/>
                <w:szCs w:val="18"/>
              </w:rPr>
              <w:t>£1.71bn</w:t>
            </w:r>
          </w:p>
        </w:tc>
        <w:tc>
          <w:tcPr>
            <w:tcW w:w="285" w:type="dxa"/>
            <w:tcBorders>
              <w:top w:val="nil"/>
              <w:left w:val="single" w:sz="4" w:space="0" w:color="auto"/>
              <w:bottom w:val="nil"/>
              <w:right w:val="single" w:sz="4" w:space="0" w:color="auto"/>
            </w:tcBorders>
          </w:tcPr>
          <w:p w14:paraId="63CB16CA" w14:textId="77777777" w:rsidR="00397059" w:rsidRPr="00C03D62" w:rsidRDefault="00397059" w:rsidP="00397059">
            <w:pPr>
              <w:rPr>
                <w:rFonts w:cstheme="minorHAnsi"/>
                <w:sz w:val="18"/>
                <w:szCs w:val="18"/>
              </w:rPr>
            </w:pPr>
          </w:p>
        </w:tc>
        <w:tc>
          <w:tcPr>
            <w:tcW w:w="1842" w:type="dxa"/>
            <w:tcBorders>
              <w:left w:val="single" w:sz="4" w:space="0" w:color="auto"/>
            </w:tcBorders>
          </w:tcPr>
          <w:p w14:paraId="01362B63" w14:textId="4CCA2D6F" w:rsidR="00397059" w:rsidRPr="00397059" w:rsidRDefault="00397059" w:rsidP="00397059">
            <w:pPr>
              <w:rPr>
                <w:rFonts w:cstheme="minorHAnsi"/>
                <w:color w:val="404040" w:themeColor="text1" w:themeTint="BF"/>
                <w:sz w:val="18"/>
                <w:szCs w:val="18"/>
              </w:rPr>
            </w:pPr>
            <w:r w:rsidRPr="00397059">
              <w:rPr>
                <w:sz w:val="18"/>
                <w:szCs w:val="18"/>
              </w:rPr>
              <w:t>Raymond James</w:t>
            </w:r>
          </w:p>
        </w:tc>
        <w:tc>
          <w:tcPr>
            <w:tcW w:w="992" w:type="dxa"/>
          </w:tcPr>
          <w:p w14:paraId="162B2CF0" w14:textId="74E23D26" w:rsidR="00397059" w:rsidRPr="00C03D62" w:rsidRDefault="00397059" w:rsidP="00397059">
            <w:pPr>
              <w:rPr>
                <w:rFonts w:eastAsia="Times New Roman" w:cstheme="minorHAnsi"/>
                <w:color w:val="404040" w:themeColor="text1" w:themeTint="BF"/>
                <w:sz w:val="18"/>
                <w:szCs w:val="18"/>
                <w:lang w:eastAsia="en-GB"/>
              </w:rPr>
            </w:pPr>
            <w:r w:rsidRPr="00C03D62">
              <w:rPr>
                <w:sz w:val="18"/>
                <w:szCs w:val="18"/>
              </w:rPr>
              <w:t>£5</w:t>
            </w:r>
            <w:r w:rsidR="00CB79F0">
              <w:rPr>
                <w:sz w:val="18"/>
                <w:szCs w:val="18"/>
              </w:rPr>
              <w:t>78</w:t>
            </w:r>
            <w:r w:rsidRPr="00C03D62">
              <w:rPr>
                <w:sz w:val="18"/>
                <w:szCs w:val="18"/>
              </w:rPr>
              <w:t>m</w:t>
            </w:r>
          </w:p>
        </w:tc>
      </w:tr>
      <w:tr w:rsidR="00397059" w:rsidRPr="00C03D62" w14:paraId="4A9D0AD9" w14:textId="77777777" w:rsidTr="00D1457F">
        <w:tc>
          <w:tcPr>
            <w:tcW w:w="1980" w:type="dxa"/>
          </w:tcPr>
          <w:p w14:paraId="54629789" w14:textId="391080CC" w:rsidR="00397059" w:rsidRPr="00C03D62" w:rsidRDefault="00397059" w:rsidP="00397059">
            <w:pPr>
              <w:rPr>
                <w:rFonts w:cstheme="minorHAnsi"/>
                <w:color w:val="404040" w:themeColor="text1" w:themeTint="BF"/>
                <w:sz w:val="18"/>
                <w:szCs w:val="18"/>
              </w:rPr>
            </w:pPr>
            <w:r w:rsidRPr="00C03D62">
              <w:rPr>
                <w:sz w:val="18"/>
                <w:szCs w:val="18"/>
              </w:rPr>
              <w:t>Fidelity Adviser Solutions</w:t>
            </w:r>
          </w:p>
        </w:tc>
        <w:tc>
          <w:tcPr>
            <w:tcW w:w="1134" w:type="dxa"/>
            <w:tcBorders>
              <w:right w:val="single" w:sz="4" w:space="0" w:color="auto"/>
            </w:tcBorders>
          </w:tcPr>
          <w:p w14:paraId="655C561F" w14:textId="666D908B" w:rsidR="00397059" w:rsidRPr="00C03D62" w:rsidRDefault="00397059" w:rsidP="00397059">
            <w:pPr>
              <w:rPr>
                <w:rFonts w:eastAsia="Times New Roman" w:cstheme="minorHAnsi"/>
                <w:color w:val="404040" w:themeColor="text1" w:themeTint="BF"/>
                <w:sz w:val="18"/>
                <w:szCs w:val="18"/>
                <w:lang w:eastAsia="en-GB"/>
              </w:rPr>
            </w:pPr>
            <w:r w:rsidRPr="00C03D62">
              <w:rPr>
                <w:sz w:val="18"/>
                <w:szCs w:val="18"/>
              </w:rPr>
              <w:t>£53.40bn</w:t>
            </w:r>
          </w:p>
        </w:tc>
        <w:tc>
          <w:tcPr>
            <w:tcW w:w="283" w:type="dxa"/>
            <w:tcBorders>
              <w:top w:val="nil"/>
              <w:left w:val="single" w:sz="4" w:space="0" w:color="auto"/>
              <w:bottom w:val="nil"/>
              <w:right w:val="single" w:sz="4" w:space="0" w:color="auto"/>
            </w:tcBorders>
          </w:tcPr>
          <w:p w14:paraId="2260C246" w14:textId="77777777" w:rsidR="00397059" w:rsidRPr="00C03D62" w:rsidRDefault="00397059" w:rsidP="00397059">
            <w:pPr>
              <w:rPr>
                <w:rFonts w:cstheme="minorHAnsi"/>
                <w:sz w:val="18"/>
                <w:szCs w:val="18"/>
              </w:rPr>
            </w:pPr>
          </w:p>
        </w:tc>
        <w:tc>
          <w:tcPr>
            <w:tcW w:w="1843" w:type="dxa"/>
            <w:tcBorders>
              <w:left w:val="single" w:sz="4" w:space="0" w:color="auto"/>
            </w:tcBorders>
          </w:tcPr>
          <w:p w14:paraId="7509B731" w14:textId="263A8D82" w:rsidR="00397059" w:rsidRPr="00C03D62" w:rsidRDefault="00397059" w:rsidP="00397059">
            <w:pPr>
              <w:rPr>
                <w:rFonts w:cstheme="minorHAnsi"/>
                <w:color w:val="404040" w:themeColor="text1" w:themeTint="BF"/>
                <w:sz w:val="18"/>
                <w:szCs w:val="18"/>
              </w:rPr>
            </w:pPr>
            <w:r w:rsidRPr="00C03D62">
              <w:rPr>
                <w:sz w:val="18"/>
                <w:szCs w:val="18"/>
              </w:rPr>
              <w:t>AJ Bell Investcentre</w:t>
            </w:r>
          </w:p>
        </w:tc>
        <w:tc>
          <w:tcPr>
            <w:tcW w:w="992" w:type="dxa"/>
            <w:tcBorders>
              <w:right w:val="single" w:sz="4" w:space="0" w:color="auto"/>
            </w:tcBorders>
          </w:tcPr>
          <w:p w14:paraId="10C5C2BF" w14:textId="31D766DC" w:rsidR="00397059" w:rsidRPr="00C03D62" w:rsidRDefault="00397059" w:rsidP="00397059">
            <w:pPr>
              <w:rPr>
                <w:rFonts w:eastAsia="Times New Roman" w:cstheme="minorHAnsi"/>
                <w:color w:val="404040" w:themeColor="text1" w:themeTint="BF"/>
                <w:sz w:val="18"/>
                <w:szCs w:val="18"/>
                <w:lang w:eastAsia="en-GB"/>
              </w:rPr>
            </w:pPr>
            <w:r w:rsidRPr="00C03D62">
              <w:rPr>
                <w:sz w:val="18"/>
                <w:szCs w:val="18"/>
              </w:rPr>
              <w:t>£1.60bn</w:t>
            </w:r>
          </w:p>
        </w:tc>
        <w:tc>
          <w:tcPr>
            <w:tcW w:w="285" w:type="dxa"/>
            <w:tcBorders>
              <w:top w:val="nil"/>
              <w:left w:val="single" w:sz="4" w:space="0" w:color="auto"/>
              <w:bottom w:val="nil"/>
              <w:right w:val="single" w:sz="4" w:space="0" w:color="auto"/>
            </w:tcBorders>
          </w:tcPr>
          <w:p w14:paraId="0DCCDB41" w14:textId="77777777" w:rsidR="00397059" w:rsidRPr="00C03D62" w:rsidRDefault="00397059" w:rsidP="00397059">
            <w:pPr>
              <w:rPr>
                <w:rFonts w:cstheme="minorHAnsi"/>
                <w:sz w:val="18"/>
                <w:szCs w:val="18"/>
              </w:rPr>
            </w:pPr>
          </w:p>
        </w:tc>
        <w:tc>
          <w:tcPr>
            <w:tcW w:w="1842" w:type="dxa"/>
            <w:tcBorders>
              <w:left w:val="single" w:sz="4" w:space="0" w:color="auto"/>
            </w:tcBorders>
          </w:tcPr>
          <w:p w14:paraId="0703F321" w14:textId="79383A9F" w:rsidR="00397059" w:rsidRPr="00397059" w:rsidRDefault="00397059" w:rsidP="00397059">
            <w:pPr>
              <w:rPr>
                <w:rFonts w:cstheme="minorHAnsi"/>
                <w:color w:val="404040" w:themeColor="text1" w:themeTint="BF"/>
                <w:sz w:val="18"/>
                <w:szCs w:val="18"/>
              </w:rPr>
            </w:pPr>
            <w:r w:rsidRPr="00397059">
              <w:rPr>
                <w:sz w:val="18"/>
                <w:szCs w:val="18"/>
              </w:rPr>
              <w:t>AJ Bell Investcentre</w:t>
            </w:r>
          </w:p>
        </w:tc>
        <w:tc>
          <w:tcPr>
            <w:tcW w:w="992" w:type="dxa"/>
          </w:tcPr>
          <w:p w14:paraId="3D92FA67" w14:textId="3341019B" w:rsidR="00397059" w:rsidRPr="00C03D62" w:rsidRDefault="00397059" w:rsidP="00397059">
            <w:pPr>
              <w:rPr>
                <w:rFonts w:eastAsia="Times New Roman" w:cstheme="minorHAnsi"/>
                <w:color w:val="404040" w:themeColor="text1" w:themeTint="BF"/>
                <w:sz w:val="18"/>
                <w:szCs w:val="18"/>
                <w:lang w:eastAsia="en-GB"/>
              </w:rPr>
            </w:pPr>
            <w:r w:rsidRPr="00C03D62">
              <w:rPr>
                <w:sz w:val="18"/>
                <w:szCs w:val="18"/>
              </w:rPr>
              <w:t>£500m</w:t>
            </w:r>
          </w:p>
        </w:tc>
      </w:tr>
    </w:tbl>
    <w:p w14:paraId="3E71E5F2" w14:textId="77777777" w:rsidR="00600839" w:rsidRDefault="00600839"/>
    <w:p w14:paraId="2C49EB13" w14:textId="4FE98B38" w:rsidR="0092748B" w:rsidRPr="0092748B" w:rsidRDefault="00600839" w:rsidP="0092748B">
      <w:pPr>
        <w:spacing w:after="160" w:line="360" w:lineRule="auto"/>
        <w:ind w:left="4320"/>
        <w:rPr>
          <w:rFonts w:cstheme="minorHAnsi"/>
          <w:b/>
          <w:bCs/>
          <w:color w:val="404040" w:themeColor="text1" w:themeTint="BF"/>
          <w:sz w:val="20"/>
          <w:szCs w:val="20"/>
        </w:rPr>
      </w:pPr>
      <w:r w:rsidRPr="005259A6">
        <w:rPr>
          <w:rFonts w:cstheme="minorHAnsi"/>
          <w:b/>
          <w:bCs/>
          <w:color w:val="404040" w:themeColor="text1" w:themeTint="BF"/>
          <w:sz w:val="20"/>
          <w:szCs w:val="20"/>
        </w:rPr>
        <w:t>-ENDS-</w:t>
      </w:r>
    </w:p>
    <w:p w14:paraId="00D9F368" w14:textId="77777777" w:rsidR="00600839" w:rsidRPr="00893EB0" w:rsidRDefault="00600839" w:rsidP="00600839">
      <w:pPr>
        <w:rPr>
          <w:rFonts w:ascii="Poppins" w:hAnsi="Poppins" w:cs="Poppins"/>
          <w:color w:val="404040" w:themeColor="text1" w:themeTint="BF"/>
          <w:sz w:val="20"/>
          <w:szCs w:val="20"/>
        </w:rPr>
      </w:pPr>
      <w:r w:rsidRPr="00893EB0">
        <w:rPr>
          <w:rFonts w:ascii="Poppins" w:hAnsi="Poppins" w:cs="Poppins"/>
          <w:color w:val="404040" w:themeColor="text1" w:themeTint="BF"/>
          <w:sz w:val="20"/>
          <w:szCs w:val="20"/>
        </w:rPr>
        <w:t>For further information, contact:</w:t>
      </w:r>
    </w:p>
    <w:p w14:paraId="445B9A13" w14:textId="77777777" w:rsidR="00600839" w:rsidRPr="00893EB0" w:rsidRDefault="00600839" w:rsidP="00600839">
      <w:pPr>
        <w:rPr>
          <w:rFonts w:ascii="Poppins" w:hAnsi="Poppins" w:cs="Poppins"/>
          <w:color w:val="404040" w:themeColor="text1" w:themeTint="BF"/>
          <w:sz w:val="20"/>
          <w:szCs w:val="20"/>
        </w:rPr>
      </w:pPr>
    </w:p>
    <w:p w14:paraId="093294B6" w14:textId="66AA2C2A" w:rsidR="00600839" w:rsidRPr="00893EB0" w:rsidRDefault="130827F6" w:rsidP="00600839">
      <w:pPr>
        <w:rPr>
          <w:rFonts w:ascii="Poppins" w:hAnsi="Poppins" w:cs="Poppins"/>
          <w:color w:val="404040" w:themeColor="text1" w:themeTint="BF"/>
          <w:sz w:val="20"/>
          <w:szCs w:val="20"/>
        </w:rPr>
      </w:pPr>
      <w:r w:rsidRPr="00893EB0">
        <w:rPr>
          <w:rFonts w:ascii="Poppins" w:hAnsi="Poppins" w:cs="Poppins"/>
          <w:color w:val="404040" w:themeColor="text1" w:themeTint="BF"/>
          <w:sz w:val="20"/>
          <w:szCs w:val="20"/>
        </w:rPr>
        <w:t>Nicola Cannings</w:t>
      </w:r>
      <w:r w:rsidR="00600839" w:rsidRPr="00893EB0">
        <w:rPr>
          <w:rFonts w:ascii="Poppins" w:hAnsi="Poppins" w:cs="Poppins"/>
          <w:color w:val="404040" w:themeColor="text1" w:themeTint="BF"/>
          <w:sz w:val="20"/>
          <w:szCs w:val="20"/>
        </w:rPr>
        <w:t>, PR Director, the lang cat</w:t>
      </w:r>
    </w:p>
    <w:p w14:paraId="747FC5D5" w14:textId="3103DF19" w:rsidR="00600839" w:rsidRPr="00893EB0" w:rsidRDefault="00600839" w:rsidP="00600839">
      <w:pPr>
        <w:rPr>
          <w:rFonts w:ascii="Poppins" w:hAnsi="Poppins" w:cs="Poppins"/>
          <w:color w:val="404040" w:themeColor="text1" w:themeTint="BF"/>
          <w:sz w:val="20"/>
          <w:szCs w:val="20"/>
        </w:rPr>
      </w:pPr>
      <w:r w:rsidRPr="00893EB0">
        <w:rPr>
          <w:rFonts w:ascii="Poppins" w:hAnsi="Poppins" w:cs="Poppins"/>
          <w:color w:val="404040" w:themeColor="text1" w:themeTint="BF"/>
          <w:sz w:val="20"/>
          <w:szCs w:val="20"/>
        </w:rPr>
        <w:t xml:space="preserve">T: </w:t>
      </w:r>
      <w:r w:rsidR="352A5601" w:rsidRPr="00893EB0">
        <w:rPr>
          <w:rFonts w:ascii="Poppins" w:hAnsi="Poppins" w:cs="Poppins"/>
          <w:color w:val="404040" w:themeColor="text1" w:themeTint="BF"/>
          <w:sz w:val="20"/>
          <w:szCs w:val="20"/>
        </w:rPr>
        <w:t>07713 669899</w:t>
      </w:r>
    </w:p>
    <w:p w14:paraId="64D573AA" w14:textId="45465911" w:rsidR="00600839" w:rsidRPr="00893EB0" w:rsidRDefault="00600839" w:rsidP="00600839">
      <w:pPr>
        <w:rPr>
          <w:rFonts w:ascii="Poppins" w:hAnsi="Poppins" w:cs="Poppins"/>
          <w:color w:val="404040" w:themeColor="text1" w:themeTint="BF"/>
          <w:sz w:val="20"/>
          <w:szCs w:val="20"/>
        </w:rPr>
      </w:pPr>
      <w:r w:rsidRPr="00893EB0">
        <w:rPr>
          <w:rFonts w:ascii="Poppins" w:hAnsi="Poppins" w:cs="Poppins"/>
          <w:color w:val="404040" w:themeColor="text1" w:themeTint="BF"/>
          <w:sz w:val="20"/>
          <w:szCs w:val="20"/>
        </w:rPr>
        <w:t xml:space="preserve">email: </w:t>
      </w:r>
      <w:r w:rsidR="4C860421" w:rsidRPr="00893EB0">
        <w:rPr>
          <w:rFonts w:ascii="Poppins" w:hAnsi="Poppins" w:cs="Poppins"/>
          <w:color w:val="404040" w:themeColor="text1" w:themeTint="BF"/>
          <w:sz w:val="20"/>
          <w:szCs w:val="20"/>
        </w:rPr>
        <w:t>nicola@thelangcat.co.uk</w:t>
      </w:r>
    </w:p>
    <w:p w14:paraId="6BC32130" w14:textId="77777777" w:rsidR="00600839" w:rsidRPr="002051C4" w:rsidRDefault="00600839" w:rsidP="00600839">
      <w:pPr>
        <w:rPr>
          <w:rFonts w:ascii="Poppins" w:hAnsi="Poppins" w:cs="Poppins"/>
          <w:color w:val="404040" w:themeColor="text1" w:themeTint="BF"/>
          <w:sz w:val="20"/>
          <w:szCs w:val="20"/>
        </w:rPr>
      </w:pPr>
    </w:p>
    <w:p w14:paraId="1374D7AB" w14:textId="2C5F5315" w:rsidR="0092748B" w:rsidRDefault="00600839" w:rsidP="0092748B">
      <w:pPr>
        <w:rPr>
          <w:rFonts w:ascii="Poppins" w:hAnsi="Poppins" w:cs="Poppins"/>
          <w:b/>
          <w:bCs/>
          <w:color w:val="404040" w:themeColor="text1" w:themeTint="BF"/>
          <w:sz w:val="20"/>
          <w:szCs w:val="20"/>
        </w:rPr>
      </w:pPr>
      <w:r w:rsidRPr="002051C4">
        <w:rPr>
          <w:rFonts w:ascii="Poppins" w:hAnsi="Poppins" w:cs="Poppins"/>
          <w:b/>
          <w:bCs/>
          <w:color w:val="404040" w:themeColor="text1" w:themeTint="BF"/>
          <w:sz w:val="20"/>
          <w:szCs w:val="20"/>
        </w:rPr>
        <w:t>Notes to editors:</w:t>
      </w:r>
    </w:p>
    <w:p w14:paraId="73D09C4C" w14:textId="77777777" w:rsidR="00DC4FA1" w:rsidRDefault="00DC4FA1" w:rsidP="0092748B">
      <w:pPr>
        <w:rPr>
          <w:rFonts w:ascii="Poppins" w:hAnsi="Poppins" w:cs="Poppins"/>
          <w:b/>
          <w:bCs/>
          <w:color w:val="404040" w:themeColor="text1" w:themeTint="BF"/>
          <w:sz w:val="20"/>
          <w:szCs w:val="20"/>
        </w:rPr>
      </w:pPr>
    </w:p>
    <w:p w14:paraId="66D03A65" w14:textId="3FF89ED5" w:rsidR="00DC4FA1" w:rsidRPr="00DC4FA1" w:rsidRDefault="00DC4FA1" w:rsidP="002B61AB">
      <w:pPr>
        <w:pStyle w:val="ListParagraph"/>
        <w:numPr>
          <w:ilvl w:val="0"/>
          <w:numId w:val="2"/>
        </w:numPr>
        <w:rPr>
          <w:rFonts w:ascii="Poppins" w:hAnsi="Poppins" w:cs="Poppins"/>
          <w:color w:val="404040" w:themeColor="text1" w:themeTint="BF"/>
          <w:sz w:val="20"/>
          <w:szCs w:val="20"/>
        </w:rPr>
      </w:pPr>
      <w:r>
        <w:rPr>
          <w:rFonts w:ascii="Poppins" w:hAnsi="Poppins" w:cs="Poppins"/>
          <w:color w:val="404040" w:themeColor="text1" w:themeTint="BF"/>
          <w:sz w:val="20"/>
          <w:szCs w:val="20"/>
        </w:rPr>
        <w:t xml:space="preserve">Please </w:t>
      </w:r>
      <w:r w:rsidRPr="00DC4FA1">
        <w:rPr>
          <w:rFonts w:ascii="Poppins" w:hAnsi="Poppins" w:cs="Poppins"/>
          <w:color w:val="404040" w:themeColor="text1" w:themeTint="BF"/>
          <w:sz w:val="20"/>
          <w:szCs w:val="20"/>
        </w:rPr>
        <w:t xml:space="preserve">note that </w:t>
      </w:r>
      <w:r>
        <w:rPr>
          <w:rFonts w:ascii="Poppins" w:hAnsi="Poppins" w:cs="Poppins"/>
          <w:color w:val="404040" w:themeColor="text1" w:themeTint="BF"/>
          <w:sz w:val="20"/>
          <w:szCs w:val="20"/>
        </w:rPr>
        <w:t>M&amp;G Wealth is excluded from the figures above and in any tables. M&amp;G</w:t>
      </w:r>
      <w:r w:rsidR="008F785B">
        <w:rPr>
          <w:rFonts w:ascii="Poppins" w:hAnsi="Poppins" w:cs="Poppins"/>
          <w:color w:val="404040" w:themeColor="text1" w:themeTint="BF"/>
          <w:sz w:val="20"/>
          <w:szCs w:val="20"/>
        </w:rPr>
        <w:t xml:space="preserve"> Wealth’s parent, M&amp;G, has an embargo date of </w:t>
      </w:r>
      <w:r w:rsidR="003D4905">
        <w:rPr>
          <w:rFonts w:ascii="Poppins" w:hAnsi="Poppins" w:cs="Poppins"/>
          <w:color w:val="404040" w:themeColor="text1" w:themeTint="BF"/>
          <w:sz w:val="20"/>
          <w:szCs w:val="20"/>
        </w:rPr>
        <w:t>4</w:t>
      </w:r>
      <w:r w:rsidR="008F785B">
        <w:rPr>
          <w:rFonts w:ascii="Poppins" w:hAnsi="Poppins" w:cs="Poppins"/>
          <w:color w:val="404040" w:themeColor="text1" w:themeTint="BF"/>
          <w:sz w:val="20"/>
          <w:szCs w:val="20"/>
        </w:rPr>
        <w:t xml:space="preserve"> September 202</w:t>
      </w:r>
      <w:r w:rsidR="003D4905">
        <w:rPr>
          <w:rFonts w:ascii="Poppins" w:hAnsi="Poppins" w:cs="Poppins"/>
          <w:color w:val="404040" w:themeColor="text1" w:themeTint="BF"/>
          <w:sz w:val="20"/>
          <w:szCs w:val="20"/>
        </w:rPr>
        <w:t>4</w:t>
      </w:r>
      <w:r w:rsidR="008F785B">
        <w:rPr>
          <w:rFonts w:ascii="Poppins" w:hAnsi="Poppins" w:cs="Poppins"/>
          <w:color w:val="404040" w:themeColor="text1" w:themeTint="BF"/>
          <w:sz w:val="20"/>
          <w:szCs w:val="20"/>
        </w:rPr>
        <w:t xml:space="preserve">. We will reissue the data with M&amp;G included on this date. </w:t>
      </w:r>
    </w:p>
    <w:p w14:paraId="7B7D5D65" w14:textId="77777777" w:rsidR="0092748B" w:rsidRPr="002051C4" w:rsidRDefault="0092748B" w:rsidP="00600839">
      <w:pPr>
        <w:rPr>
          <w:rFonts w:ascii="Poppins" w:hAnsi="Poppins" w:cs="Poppins"/>
          <w:b/>
          <w:bCs/>
          <w:color w:val="404040" w:themeColor="text1" w:themeTint="BF"/>
          <w:sz w:val="20"/>
          <w:szCs w:val="20"/>
        </w:rPr>
      </w:pPr>
    </w:p>
    <w:p w14:paraId="3A02CA88" w14:textId="34D04C69" w:rsidR="00600839" w:rsidRPr="002051C4" w:rsidRDefault="00600839" w:rsidP="00600839">
      <w:pPr>
        <w:rPr>
          <w:rFonts w:ascii="Poppins" w:hAnsi="Poppins" w:cs="Poppins"/>
        </w:rPr>
      </w:pPr>
      <w:r w:rsidRPr="08ADB821">
        <w:rPr>
          <w:rFonts w:ascii="Poppins" w:hAnsi="Poppins" w:cs="Poppins"/>
          <w:color w:val="404040" w:themeColor="text1" w:themeTint="BF"/>
          <w:sz w:val="20"/>
          <w:szCs w:val="20"/>
        </w:rPr>
        <w:t xml:space="preserve">the lang cat is Leith’s leading (probably) specialist financial services consultancy. </w:t>
      </w:r>
      <w:r w:rsidRPr="08ADB821">
        <w:rPr>
          <w:rFonts w:ascii="Poppins" w:hAnsi="Poppins" w:cs="Poppins"/>
          <w:sz w:val="20"/>
          <w:szCs w:val="20"/>
        </w:rPr>
        <w:t xml:space="preserve">Analyser is regtech software for advice professionals that incorporates an interactive </w:t>
      </w:r>
      <w:r w:rsidR="3BD99E53" w:rsidRPr="08ADB821">
        <w:rPr>
          <w:rFonts w:ascii="Poppins" w:hAnsi="Poppins" w:cs="Poppins"/>
          <w:sz w:val="20"/>
          <w:szCs w:val="20"/>
        </w:rPr>
        <w:t>tool,</w:t>
      </w:r>
      <w:r w:rsidRPr="08ADB821">
        <w:rPr>
          <w:rFonts w:ascii="Poppins" w:hAnsi="Poppins" w:cs="Poppins"/>
          <w:sz w:val="20"/>
          <w:szCs w:val="20"/>
        </w:rPr>
        <w:t xml:space="preserve"> and regular lang cat insight and publications packed full of industry news and developments, including </w:t>
      </w:r>
      <w:r w:rsidRPr="08ADB821">
        <w:rPr>
          <w:rFonts w:ascii="Poppins" w:eastAsia="Times New Roman" w:hAnsi="Poppins" w:cs="Poppins"/>
          <w:sz w:val="20"/>
          <w:szCs w:val="20"/>
        </w:rPr>
        <w:t>quarterly adviser servicing ratings.</w:t>
      </w:r>
      <w:r w:rsidRPr="08ADB821">
        <w:rPr>
          <w:rFonts w:ascii="Poppins" w:hAnsi="Poppins" w:cs="Poppins"/>
          <w:sz w:val="20"/>
          <w:szCs w:val="20"/>
        </w:rPr>
        <w:t xml:space="preserve"> Advice professionals can find further information and sign up to a free seven-day trial of Analyser at </w:t>
      </w:r>
      <w:hyperlink r:id="rId12">
        <w:r w:rsidRPr="08ADB821">
          <w:rPr>
            <w:rStyle w:val="Hyperlink"/>
            <w:rFonts w:ascii="Poppins" w:hAnsi="Poppins" w:cs="Poppins"/>
            <w:sz w:val="20"/>
            <w:szCs w:val="20"/>
          </w:rPr>
          <w:t>https://www.langcatfinancial.co.uk/platformanalyser/</w:t>
        </w:r>
      </w:hyperlink>
    </w:p>
    <w:p w14:paraId="69FFF3E6" w14:textId="77777777" w:rsidR="00600839" w:rsidRDefault="00600839"/>
    <w:sectPr w:rsidR="0060083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AD8E1" w14:textId="77777777" w:rsidR="00857758" w:rsidRDefault="00857758">
      <w:r>
        <w:separator/>
      </w:r>
    </w:p>
  </w:endnote>
  <w:endnote w:type="continuationSeparator" w:id="0">
    <w:p w14:paraId="23816177" w14:textId="77777777" w:rsidR="00857758" w:rsidRDefault="00857758">
      <w:r>
        <w:continuationSeparator/>
      </w:r>
    </w:p>
  </w:endnote>
  <w:endnote w:type="continuationNotice" w:id="1">
    <w:p w14:paraId="449B4028" w14:textId="77777777" w:rsidR="00857758" w:rsidRDefault="00857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1E99E29" w14:paraId="04E48E82" w14:textId="77777777" w:rsidTr="71E99E29">
      <w:trPr>
        <w:trHeight w:val="300"/>
      </w:trPr>
      <w:tc>
        <w:tcPr>
          <w:tcW w:w="3005" w:type="dxa"/>
        </w:tcPr>
        <w:p w14:paraId="12D3910D" w14:textId="14EA6806" w:rsidR="71E99E29" w:rsidRDefault="71E99E29" w:rsidP="71E99E29">
          <w:pPr>
            <w:pStyle w:val="Header"/>
            <w:ind w:left="-115"/>
          </w:pPr>
        </w:p>
      </w:tc>
      <w:tc>
        <w:tcPr>
          <w:tcW w:w="3005" w:type="dxa"/>
        </w:tcPr>
        <w:p w14:paraId="5424B549" w14:textId="7E875B9D" w:rsidR="71E99E29" w:rsidRDefault="71E99E29" w:rsidP="71E99E29">
          <w:pPr>
            <w:pStyle w:val="Header"/>
            <w:jc w:val="center"/>
          </w:pPr>
        </w:p>
      </w:tc>
      <w:tc>
        <w:tcPr>
          <w:tcW w:w="3005" w:type="dxa"/>
        </w:tcPr>
        <w:p w14:paraId="4FEDBF8C" w14:textId="60DD52B0" w:rsidR="71E99E29" w:rsidRDefault="71E99E29" w:rsidP="71E99E29">
          <w:pPr>
            <w:pStyle w:val="Header"/>
            <w:ind w:right="-115"/>
            <w:jc w:val="right"/>
          </w:pPr>
        </w:p>
      </w:tc>
    </w:tr>
  </w:tbl>
  <w:p w14:paraId="192D7CEF" w14:textId="1EEEAB13" w:rsidR="71E99E29" w:rsidRDefault="71E99E29" w:rsidP="71E99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A86BE" w14:textId="77777777" w:rsidR="00857758" w:rsidRDefault="00857758">
      <w:r>
        <w:separator/>
      </w:r>
    </w:p>
  </w:footnote>
  <w:footnote w:type="continuationSeparator" w:id="0">
    <w:p w14:paraId="50CC59CA" w14:textId="77777777" w:rsidR="00857758" w:rsidRDefault="00857758">
      <w:r>
        <w:continuationSeparator/>
      </w:r>
    </w:p>
  </w:footnote>
  <w:footnote w:type="continuationNotice" w:id="1">
    <w:p w14:paraId="13BD34B0" w14:textId="77777777" w:rsidR="00857758" w:rsidRDefault="008577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1E99E29" w14:paraId="218134F1" w14:textId="77777777" w:rsidTr="71E99E29">
      <w:trPr>
        <w:trHeight w:val="300"/>
      </w:trPr>
      <w:tc>
        <w:tcPr>
          <w:tcW w:w="3005" w:type="dxa"/>
        </w:tcPr>
        <w:p w14:paraId="335AD601" w14:textId="18C9E614" w:rsidR="71E99E29" w:rsidRDefault="71E99E29" w:rsidP="71E99E29">
          <w:pPr>
            <w:pStyle w:val="Header"/>
            <w:ind w:left="-115"/>
          </w:pPr>
        </w:p>
      </w:tc>
      <w:tc>
        <w:tcPr>
          <w:tcW w:w="3005" w:type="dxa"/>
        </w:tcPr>
        <w:p w14:paraId="35229752" w14:textId="524AB0C5" w:rsidR="71E99E29" w:rsidRDefault="71E99E29" w:rsidP="71E99E29">
          <w:pPr>
            <w:pStyle w:val="Header"/>
            <w:jc w:val="center"/>
          </w:pPr>
        </w:p>
      </w:tc>
      <w:tc>
        <w:tcPr>
          <w:tcW w:w="3005" w:type="dxa"/>
        </w:tcPr>
        <w:p w14:paraId="2E116F56" w14:textId="7CE30208" w:rsidR="71E99E29" w:rsidRDefault="71E99E29" w:rsidP="71E99E29">
          <w:pPr>
            <w:pStyle w:val="Header"/>
            <w:ind w:right="-115"/>
            <w:jc w:val="right"/>
          </w:pPr>
        </w:p>
      </w:tc>
    </w:tr>
  </w:tbl>
  <w:p w14:paraId="18D1153B" w14:textId="547C536B" w:rsidR="71E99E29" w:rsidRDefault="71E99E29" w:rsidP="71E99E29">
    <w:pPr>
      <w:pStyle w:val="Header"/>
    </w:pPr>
  </w:p>
</w:hdr>
</file>

<file path=word/intelligence2.xml><?xml version="1.0" encoding="utf-8"?>
<int2:intelligence xmlns:int2="http://schemas.microsoft.com/office/intelligence/2020/intelligence" xmlns:oel="http://schemas.microsoft.com/office/2019/extlst">
  <int2:observations>
    <int2:textHash int2:hashCode="rqKHrMRYPs0gyt" int2:id="ACCAKbUM">
      <int2:state int2:value="Rejected" int2:type="AugLoop_Text_Critique"/>
    </int2:textHash>
    <int2:textHash int2:hashCode="DdY8xUfN9ARMca" int2:id="CmwPzRyu">
      <int2:state int2:value="Rejected" int2:type="AugLoop_Text_Critique"/>
    </int2:textHash>
    <int2:textHash int2:hashCode="ZmL9oX15ZtnVe+" int2:id="blx7kJdz">
      <int2:state int2:value="Rejected" int2:type="AugLoop_Text_Critique"/>
    </int2:textHash>
    <int2:bookmark int2:bookmarkName="_Int_qnRaEPJa" int2:invalidationBookmarkName="" int2:hashCode="FaKjsFDZD5h9ew" int2:id="f27G5M2P">
      <int2:state int2:value="Rejected" int2:type="AugLoop_Text_Critique"/>
    </int2:bookmark>
    <int2:bookmark int2:bookmarkName="_Int_JeHMzLPy" int2:invalidationBookmarkName="" int2:hashCode="e3B0/KNvyJ+z8e" int2:id="bXgGovN8">
      <int2:state int2:value="Rejected" int2:type="AugLoop_Text_Critique"/>
    </int2:bookmark>
    <int2:bookmark int2:bookmarkName="_Int_hhTjzEm4" int2:invalidationBookmarkName="" int2:hashCode="biDSsgPPvG2yGX" int2:id="N38sGpjX">
      <int2:state int2:value="Rejected" int2:type="AugLoop_Text_Critique"/>
    </int2:bookmark>
    <int2:bookmark int2:bookmarkName="_Int_RMnOKBZv" int2:invalidationBookmarkName="" int2:hashCode="SbNybiBQaHsRpM" int2:id="xHG9tpNJ">
      <int2:state int2:value="Rejected" int2:type="AugLoop_Text_Critique"/>
    </int2:bookmark>
    <int2:bookmark int2:bookmarkName="_Int_qEKVQYAD" int2:invalidationBookmarkName="" int2:hashCode="QyrrgEMz/mvCKZ" int2:id="xEAekqCJ">
      <int2:state int2:value="Rejected" int2:type="AugLoop_Text_Critique"/>
    </int2:bookmark>
    <int2:bookmark int2:bookmarkName="_Int_lcgb5rI3" int2:invalidationBookmarkName="" int2:hashCode="yzlcffR8h38bBG" int2:id="pw6yRFbT">
      <int2:state int2:value="Rejected" int2:type="AugLoop_Text_Critique"/>
    </int2:bookmark>
    <int2:bookmark int2:bookmarkName="_Int_ZWzPhHqw" int2:invalidationBookmarkName="" int2:hashCode="/yLf7MouSydGEJ" int2:id="LFdaOedk">
      <int2:state int2:value="Rejected" int2:type="AugLoop_Text_Critique"/>
    </int2:bookmark>
    <int2:bookmark int2:bookmarkName="_Int_V10SIg9b" int2:invalidationBookmarkName="" int2:hashCode="Q4d97gceSOj4ft" int2:id="WR46CcuS">
      <int2:state int2:value="Rejected" int2:type="AugLoop_Text_Critique"/>
    </int2:bookmark>
    <int2:bookmark int2:bookmarkName="_Int_vlrKJD6h" int2:invalidationBookmarkName="" int2:hashCode="/9NvAcdpPqiFFY" int2:id="4CVYQABI">
      <int2:state int2:value="Rejected" int2:type="AugLoop_Text_Critique"/>
    </int2:bookmark>
    <int2:bookmark int2:bookmarkName="_Int_Nd682vK5" int2:invalidationBookmarkName="" int2:hashCode="tXwxAq5eJvDiSq" int2:id="2a00sw6d">
      <int2:state int2:value="Rejected" int2:type="AugLoop_Text_Critique"/>
    </int2:bookmark>
    <int2:bookmark int2:bookmarkName="_Int_ynSA3Qei" int2:invalidationBookmarkName="" int2:hashCode="9jlRSg298I3/X6" int2:id="oH4FKOi7">
      <int2:state int2:value="Rejected" int2:type="AugLoop_Text_Critique"/>
    </int2:bookmark>
    <int2:bookmark int2:bookmarkName="_Int_uRpAkoyK" int2:invalidationBookmarkName="" int2:hashCode="bPh2UAPvDHtMJM" int2:id="nnmS7UeR">
      <int2:state int2:value="Rejected" int2:type="AugLoop_Text_Critique"/>
    </int2:bookmark>
    <int2:bookmark int2:bookmarkName="_Int_fgjPjHMg" int2:invalidationBookmarkName="" int2:hashCode="QtaY9iRbo6pfy0" int2:id="zx0gXPr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C26"/>
    <w:multiLevelType w:val="hybridMultilevel"/>
    <w:tmpl w:val="34E8010E"/>
    <w:lvl w:ilvl="0" w:tplc="A4527ACA">
      <w:start w:val="1"/>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0B1BB6"/>
    <w:multiLevelType w:val="hybridMultilevel"/>
    <w:tmpl w:val="B70273E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A40C29"/>
    <w:multiLevelType w:val="hybridMultilevel"/>
    <w:tmpl w:val="C764BDC4"/>
    <w:lvl w:ilvl="0" w:tplc="1042F7D8">
      <w:start w:val="1"/>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594619">
    <w:abstractNumId w:val="0"/>
  </w:num>
  <w:num w:numId="2" w16cid:durableId="1669091886">
    <w:abstractNumId w:val="2"/>
  </w:num>
  <w:num w:numId="3" w16cid:durableId="1371954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39"/>
    <w:rsid w:val="0000239C"/>
    <w:rsid w:val="00002513"/>
    <w:rsid w:val="00002C3A"/>
    <w:rsid w:val="000036A9"/>
    <w:rsid w:val="0001258A"/>
    <w:rsid w:val="00013F1F"/>
    <w:rsid w:val="00015820"/>
    <w:rsid w:val="000202C9"/>
    <w:rsid w:val="00023282"/>
    <w:rsid w:val="0002781D"/>
    <w:rsid w:val="00033214"/>
    <w:rsid w:val="000372DB"/>
    <w:rsid w:val="00042877"/>
    <w:rsid w:val="00042BB1"/>
    <w:rsid w:val="00043272"/>
    <w:rsid w:val="00046716"/>
    <w:rsid w:val="000502F9"/>
    <w:rsid w:val="00056FE2"/>
    <w:rsid w:val="00057B6A"/>
    <w:rsid w:val="00061C1F"/>
    <w:rsid w:val="000635DD"/>
    <w:rsid w:val="00064CC9"/>
    <w:rsid w:val="00065110"/>
    <w:rsid w:val="0006626A"/>
    <w:rsid w:val="0006724C"/>
    <w:rsid w:val="0007700B"/>
    <w:rsid w:val="00077A9B"/>
    <w:rsid w:val="000804F9"/>
    <w:rsid w:val="00084332"/>
    <w:rsid w:val="00091168"/>
    <w:rsid w:val="00092DC7"/>
    <w:rsid w:val="00092DFF"/>
    <w:rsid w:val="000A06CE"/>
    <w:rsid w:val="000A3B5B"/>
    <w:rsid w:val="000A3D2D"/>
    <w:rsid w:val="000A418F"/>
    <w:rsid w:val="000A6A83"/>
    <w:rsid w:val="000A7C4E"/>
    <w:rsid w:val="000B18CF"/>
    <w:rsid w:val="000B5BC9"/>
    <w:rsid w:val="000C7DE0"/>
    <w:rsid w:val="000D0ABB"/>
    <w:rsid w:val="000D7AF7"/>
    <w:rsid w:val="000D7B8D"/>
    <w:rsid w:val="000E26E9"/>
    <w:rsid w:val="000E626A"/>
    <w:rsid w:val="000E643A"/>
    <w:rsid w:val="000F2A6E"/>
    <w:rsid w:val="00101F87"/>
    <w:rsid w:val="0010291E"/>
    <w:rsid w:val="001034C9"/>
    <w:rsid w:val="00115845"/>
    <w:rsid w:val="00133296"/>
    <w:rsid w:val="00141709"/>
    <w:rsid w:val="00141A67"/>
    <w:rsid w:val="0014354F"/>
    <w:rsid w:val="00145FF6"/>
    <w:rsid w:val="00150CD8"/>
    <w:rsid w:val="0015670F"/>
    <w:rsid w:val="00156DAB"/>
    <w:rsid w:val="00163AA0"/>
    <w:rsid w:val="00164BFD"/>
    <w:rsid w:val="0017360F"/>
    <w:rsid w:val="00180219"/>
    <w:rsid w:val="001813D4"/>
    <w:rsid w:val="00185163"/>
    <w:rsid w:val="00187699"/>
    <w:rsid w:val="00192A43"/>
    <w:rsid w:val="00193F7C"/>
    <w:rsid w:val="001A02D4"/>
    <w:rsid w:val="001A037B"/>
    <w:rsid w:val="001A1740"/>
    <w:rsid w:val="001A26A9"/>
    <w:rsid w:val="001A2E29"/>
    <w:rsid w:val="001B2793"/>
    <w:rsid w:val="001B5848"/>
    <w:rsid w:val="001B680B"/>
    <w:rsid w:val="001C75CC"/>
    <w:rsid w:val="001D2EAD"/>
    <w:rsid w:val="001D76B9"/>
    <w:rsid w:val="001E6738"/>
    <w:rsid w:val="001F2CD8"/>
    <w:rsid w:val="001F45FE"/>
    <w:rsid w:val="001F53DB"/>
    <w:rsid w:val="001F5EA3"/>
    <w:rsid w:val="002000B2"/>
    <w:rsid w:val="00203AC4"/>
    <w:rsid w:val="002051C4"/>
    <w:rsid w:val="00210B0D"/>
    <w:rsid w:val="002128EE"/>
    <w:rsid w:val="0021792B"/>
    <w:rsid w:val="00242886"/>
    <w:rsid w:val="00244C9C"/>
    <w:rsid w:val="00251279"/>
    <w:rsid w:val="002516D0"/>
    <w:rsid w:val="00251717"/>
    <w:rsid w:val="0025210C"/>
    <w:rsid w:val="00252825"/>
    <w:rsid w:val="00253643"/>
    <w:rsid w:val="00254021"/>
    <w:rsid w:val="00254CF2"/>
    <w:rsid w:val="00263D5F"/>
    <w:rsid w:val="00264C9B"/>
    <w:rsid w:val="00271AB5"/>
    <w:rsid w:val="00274DA0"/>
    <w:rsid w:val="00276A90"/>
    <w:rsid w:val="00277A1B"/>
    <w:rsid w:val="002806B1"/>
    <w:rsid w:val="002835B5"/>
    <w:rsid w:val="00287CF7"/>
    <w:rsid w:val="00293404"/>
    <w:rsid w:val="00295D7A"/>
    <w:rsid w:val="002972FF"/>
    <w:rsid w:val="00297C8C"/>
    <w:rsid w:val="002B1856"/>
    <w:rsid w:val="002B61AB"/>
    <w:rsid w:val="002C1139"/>
    <w:rsid w:val="002C29FE"/>
    <w:rsid w:val="002C4750"/>
    <w:rsid w:val="002C5992"/>
    <w:rsid w:val="002D3606"/>
    <w:rsid w:val="002E265E"/>
    <w:rsid w:val="002E2B0D"/>
    <w:rsid w:val="002F596D"/>
    <w:rsid w:val="00302DD2"/>
    <w:rsid w:val="0030447C"/>
    <w:rsid w:val="0031288B"/>
    <w:rsid w:val="00324CCC"/>
    <w:rsid w:val="0032542F"/>
    <w:rsid w:val="00330CD6"/>
    <w:rsid w:val="00345945"/>
    <w:rsid w:val="00355937"/>
    <w:rsid w:val="0035658B"/>
    <w:rsid w:val="00357867"/>
    <w:rsid w:val="00362B6C"/>
    <w:rsid w:val="0036425E"/>
    <w:rsid w:val="00364BB6"/>
    <w:rsid w:val="00365D5D"/>
    <w:rsid w:val="00373E6B"/>
    <w:rsid w:val="00374282"/>
    <w:rsid w:val="00374A20"/>
    <w:rsid w:val="00380872"/>
    <w:rsid w:val="00381466"/>
    <w:rsid w:val="003866C0"/>
    <w:rsid w:val="00390068"/>
    <w:rsid w:val="003924D7"/>
    <w:rsid w:val="00397059"/>
    <w:rsid w:val="003A04FD"/>
    <w:rsid w:val="003A10BE"/>
    <w:rsid w:val="003A3084"/>
    <w:rsid w:val="003A32C6"/>
    <w:rsid w:val="003A4426"/>
    <w:rsid w:val="003A5C3E"/>
    <w:rsid w:val="003B5B32"/>
    <w:rsid w:val="003B751C"/>
    <w:rsid w:val="003C0B72"/>
    <w:rsid w:val="003C12A1"/>
    <w:rsid w:val="003C3C09"/>
    <w:rsid w:val="003C672E"/>
    <w:rsid w:val="003C6D0B"/>
    <w:rsid w:val="003D4905"/>
    <w:rsid w:val="003D6C35"/>
    <w:rsid w:val="003D7F03"/>
    <w:rsid w:val="003E4894"/>
    <w:rsid w:val="003E51CE"/>
    <w:rsid w:val="003E7F00"/>
    <w:rsid w:val="004053DB"/>
    <w:rsid w:val="00406BE5"/>
    <w:rsid w:val="004155E1"/>
    <w:rsid w:val="0042082E"/>
    <w:rsid w:val="00424099"/>
    <w:rsid w:val="004341F0"/>
    <w:rsid w:val="004358E6"/>
    <w:rsid w:val="0043655D"/>
    <w:rsid w:val="00446647"/>
    <w:rsid w:val="004513C2"/>
    <w:rsid w:val="0045622A"/>
    <w:rsid w:val="00457190"/>
    <w:rsid w:val="00457F63"/>
    <w:rsid w:val="00464710"/>
    <w:rsid w:val="0046609F"/>
    <w:rsid w:val="00470CC3"/>
    <w:rsid w:val="00472A2E"/>
    <w:rsid w:val="004732A3"/>
    <w:rsid w:val="004734D7"/>
    <w:rsid w:val="00481A0C"/>
    <w:rsid w:val="00484949"/>
    <w:rsid w:val="004871BB"/>
    <w:rsid w:val="004B5066"/>
    <w:rsid w:val="004C3F48"/>
    <w:rsid w:val="004D6AB6"/>
    <w:rsid w:val="004E3627"/>
    <w:rsid w:val="004E4B12"/>
    <w:rsid w:val="004E4D79"/>
    <w:rsid w:val="004E653A"/>
    <w:rsid w:val="00500E08"/>
    <w:rsid w:val="0050256B"/>
    <w:rsid w:val="00510633"/>
    <w:rsid w:val="00510D89"/>
    <w:rsid w:val="00513A0B"/>
    <w:rsid w:val="00516EF6"/>
    <w:rsid w:val="005256EE"/>
    <w:rsid w:val="0053165E"/>
    <w:rsid w:val="00532DDF"/>
    <w:rsid w:val="005330A2"/>
    <w:rsid w:val="00534CE0"/>
    <w:rsid w:val="00535379"/>
    <w:rsid w:val="0053619A"/>
    <w:rsid w:val="005561F3"/>
    <w:rsid w:val="005624C5"/>
    <w:rsid w:val="0056379D"/>
    <w:rsid w:val="00563AA5"/>
    <w:rsid w:val="005657EE"/>
    <w:rsid w:val="00566BF7"/>
    <w:rsid w:val="00570E3B"/>
    <w:rsid w:val="00571D74"/>
    <w:rsid w:val="00580BF3"/>
    <w:rsid w:val="00587026"/>
    <w:rsid w:val="00596BCD"/>
    <w:rsid w:val="005A0FD6"/>
    <w:rsid w:val="005A2A50"/>
    <w:rsid w:val="005B15C2"/>
    <w:rsid w:val="005C041A"/>
    <w:rsid w:val="005C1529"/>
    <w:rsid w:val="005C5781"/>
    <w:rsid w:val="005C6776"/>
    <w:rsid w:val="005C7025"/>
    <w:rsid w:val="005D221D"/>
    <w:rsid w:val="005D24E0"/>
    <w:rsid w:val="005D4750"/>
    <w:rsid w:val="005D5F01"/>
    <w:rsid w:val="005E160F"/>
    <w:rsid w:val="005F1098"/>
    <w:rsid w:val="005F4094"/>
    <w:rsid w:val="005F4FF5"/>
    <w:rsid w:val="006002B3"/>
    <w:rsid w:val="00600839"/>
    <w:rsid w:val="00604AF0"/>
    <w:rsid w:val="00604D16"/>
    <w:rsid w:val="006065CB"/>
    <w:rsid w:val="006126E7"/>
    <w:rsid w:val="006207D8"/>
    <w:rsid w:val="00625106"/>
    <w:rsid w:val="006417E6"/>
    <w:rsid w:val="00643583"/>
    <w:rsid w:val="00643611"/>
    <w:rsid w:val="00654518"/>
    <w:rsid w:val="00655507"/>
    <w:rsid w:val="006610BC"/>
    <w:rsid w:val="006633D8"/>
    <w:rsid w:val="006634C2"/>
    <w:rsid w:val="00665F1E"/>
    <w:rsid w:val="0068018D"/>
    <w:rsid w:val="00681905"/>
    <w:rsid w:val="00691F53"/>
    <w:rsid w:val="006931E0"/>
    <w:rsid w:val="0069443B"/>
    <w:rsid w:val="006948C4"/>
    <w:rsid w:val="006A15B1"/>
    <w:rsid w:val="006A4BF3"/>
    <w:rsid w:val="006A7919"/>
    <w:rsid w:val="006B02FB"/>
    <w:rsid w:val="006B49B8"/>
    <w:rsid w:val="006B4DAF"/>
    <w:rsid w:val="006B5C0C"/>
    <w:rsid w:val="006C272C"/>
    <w:rsid w:val="006C57F0"/>
    <w:rsid w:val="006E2D92"/>
    <w:rsid w:val="006E2E8F"/>
    <w:rsid w:val="006F002A"/>
    <w:rsid w:val="006F0999"/>
    <w:rsid w:val="006F1F1E"/>
    <w:rsid w:val="006F76A2"/>
    <w:rsid w:val="00705439"/>
    <w:rsid w:val="00705447"/>
    <w:rsid w:val="007055D6"/>
    <w:rsid w:val="00711447"/>
    <w:rsid w:val="00721337"/>
    <w:rsid w:val="00725F14"/>
    <w:rsid w:val="007300BC"/>
    <w:rsid w:val="00732982"/>
    <w:rsid w:val="00742BAD"/>
    <w:rsid w:val="007438A7"/>
    <w:rsid w:val="00743901"/>
    <w:rsid w:val="007473EC"/>
    <w:rsid w:val="007478AA"/>
    <w:rsid w:val="00751D0B"/>
    <w:rsid w:val="00754E82"/>
    <w:rsid w:val="00756AA8"/>
    <w:rsid w:val="00756E66"/>
    <w:rsid w:val="00761392"/>
    <w:rsid w:val="00761AD4"/>
    <w:rsid w:val="007640E7"/>
    <w:rsid w:val="00765A9F"/>
    <w:rsid w:val="007667F3"/>
    <w:rsid w:val="00767B26"/>
    <w:rsid w:val="0078455D"/>
    <w:rsid w:val="00784636"/>
    <w:rsid w:val="00784919"/>
    <w:rsid w:val="00784DCF"/>
    <w:rsid w:val="007946B3"/>
    <w:rsid w:val="00795A00"/>
    <w:rsid w:val="007B59C0"/>
    <w:rsid w:val="007C1C17"/>
    <w:rsid w:val="007D07CE"/>
    <w:rsid w:val="007D7E43"/>
    <w:rsid w:val="007E04FE"/>
    <w:rsid w:val="007E3848"/>
    <w:rsid w:val="007F27EC"/>
    <w:rsid w:val="007F4CFC"/>
    <w:rsid w:val="00802BB5"/>
    <w:rsid w:val="008044B1"/>
    <w:rsid w:val="00804797"/>
    <w:rsid w:val="00804E45"/>
    <w:rsid w:val="00805771"/>
    <w:rsid w:val="00814D12"/>
    <w:rsid w:val="008216DD"/>
    <w:rsid w:val="00827956"/>
    <w:rsid w:val="00831989"/>
    <w:rsid w:val="0083626C"/>
    <w:rsid w:val="00836A3A"/>
    <w:rsid w:val="0084561A"/>
    <w:rsid w:val="00846DA7"/>
    <w:rsid w:val="00847AEC"/>
    <w:rsid w:val="00855F7A"/>
    <w:rsid w:val="00857758"/>
    <w:rsid w:val="00861884"/>
    <w:rsid w:val="0087000A"/>
    <w:rsid w:val="0088249A"/>
    <w:rsid w:val="00893EB0"/>
    <w:rsid w:val="008A14E7"/>
    <w:rsid w:val="008A5491"/>
    <w:rsid w:val="008A5953"/>
    <w:rsid w:val="008B0116"/>
    <w:rsid w:val="008B09E2"/>
    <w:rsid w:val="008B3309"/>
    <w:rsid w:val="008B4506"/>
    <w:rsid w:val="008B6D20"/>
    <w:rsid w:val="008C238B"/>
    <w:rsid w:val="008C30BF"/>
    <w:rsid w:val="008C4986"/>
    <w:rsid w:val="008D680A"/>
    <w:rsid w:val="008D6C57"/>
    <w:rsid w:val="008E2971"/>
    <w:rsid w:val="008E46FD"/>
    <w:rsid w:val="008E768B"/>
    <w:rsid w:val="008E7B05"/>
    <w:rsid w:val="008F09FF"/>
    <w:rsid w:val="008F4E99"/>
    <w:rsid w:val="008F785B"/>
    <w:rsid w:val="008F7EC5"/>
    <w:rsid w:val="009058E6"/>
    <w:rsid w:val="00913846"/>
    <w:rsid w:val="00914616"/>
    <w:rsid w:val="009166D1"/>
    <w:rsid w:val="0091688B"/>
    <w:rsid w:val="0092748B"/>
    <w:rsid w:val="00931F7F"/>
    <w:rsid w:val="009424B5"/>
    <w:rsid w:val="00942AE9"/>
    <w:rsid w:val="00946715"/>
    <w:rsid w:val="00946C66"/>
    <w:rsid w:val="0095021A"/>
    <w:rsid w:val="009512B0"/>
    <w:rsid w:val="0096100E"/>
    <w:rsid w:val="00962D9E"/>
    <w:rsid w:val="00964A85"/>
    <w:rsid w:val="00966BCF"/>
    <w:rsid w:val="00974526"/>
    <w:rsid w:val="009766FC"/>
    <w:rsid w:val="00976C96"/>
    <w:rsid w:val="00984767"/>
    <w:rsid w:val="00987C84"/>
    <w:rsid w:val="009930FD"/>
    <w:rsid w:val="00995CAE"/>
    <w:rsid w:val="00997850"/>
    <w:rsid w:val="009A00B1"/>
    <w:rsid w:val="009A0781"/>
    <w:rsid w:val="009C5684"/>
    <w:rsid w:val="009D36DC"/>
    <w:rsid w:val="009D5DB7"/>
    <w:rsid w:val="009D7AB7"/>
    <w:rsid w:val="009E1902"/>
    <w:rsid w:val="009E30D2"/>
    <w:rsid w:val="009E553B"/>
    <w:rsid w:val="009F025B"/>
    <w:rsid w:val="009F3DF9"/>
    <w:rsid w:val="009F4925"/>
    <w:rsid w:val="00A1001A"/>
    <w:rsid w:val="00A13748"/>
    <w:rsid w:val="00A200B3"/>
    <w:rsid w:val="00A22041"/>
    <w:rsid w:val="00A23AB4"/>
    <w:rsid w:val="00A23C47"/>
    <w:rsid w:val="00A24324"/>
    <w:rsid w:val="00A24605"/>
    <w:rsid w:val="00A41F92"/>
    <w:rsid w:val="00A421D0"/>
    <w:rsid w:val="00A57AEB"/>
    <w:rsid w:val="00A57F9D"/>
    <w:rsid w:val="00A651FB"/>
    <w:rsid w:val="00A66DD1"/>
    <w:rsid w:val="00A67679"/>
    <w:rsid w:val="00A712E3"/>
    <w:rsid w:val="00A7570A"/>
    <w:rsid w:val="00A76FE1"/>
    <w:rsid w:val="00A819F6"/>
    <w:rsid w:val="00A83A88"/>
    <w:rsid w:val="00A840AF"/>
    <w:rsid w:val="00A8559F"/>
    <w:rsid w:val="00A8629B"/>
    <w:rsid w:val="00A924D6"/>
    <w:rsid w:val="00A9656B"/>
    <w:rsid w:val="00AA62C9"/>
    <w:rsid w:val="00AB5DD4"/>
    <w:rsid w:val="00AC08B7"/>
    <w:rsid w:val="00AC26DC"/>
    <w:rsid w:val="00AC3BC8"/>
    <w:rsid w:val="00AC4A26"/>
    <w:rsid w:val="00AD73A7"/>
    <w:rsid w:val="00AE11F0"/>
    <w:rsid w:val="00AE1807"/>
    <w:rsid w:val="00AE4D53"/>
    <w:rsid w:val="00B0031C"/>
    <w:rsid w:val="00B10FCA"/>
    <w:rsid w:val="00B11180"/>
    <w:rsid w:val="00B11570"/>
    <w:rsid w:val="00B117A9"/>
    <w:rsid w:val="00B118BF"/>
    <w:rsid w:val="00B14BDC"/>
    <w:rsid w:val="00B15590"/>
    <w:rsid w:val="00B2233A"/>
    <w:rsid w:val="00B251A1"/>
    <w:rsid w:val="00B266F9"/>
    <w:rsid w:val="00B32E14"/>
    <w:rsid w:val="00B34257"/>
    <w:rsid w:val="00B343C0"/>
    <w:rsid w:val="00B351B1"/>
    <w:rsid w:val="00B35797"/>
    <w:rsid w:val="00B412D2"/>
    <w:rsid w:val="00B436BA"/>
    <w:rsid w:val="00B45BFA"/>
    <w:rsid w:val="00B5164E"/>
    <w:rsid w:val="00B62169"/>
    <w:rsid w:val="00B72430"/>
    <w:rsid w:val="00B72CC0"/>
    <w:rsid w:val="00B737D4"/>
    <w:rsid w:val="00B80224"/>
    <w:rsid w:val="00B815BD"/>
    <w:rsid w:val="00B84FEA"/>
    <w:rsid w:val="00B8598B"/>
    <w:rsid w:val="00B9246C"/>
    <w:rsid w:val="00B9571C"/>
    <w:rsid w:val="00B97168"/>
    <w:rsid w:val="00BA0CA4"/>
    <w:rsid w:val="00BA57A5"/>
    <w:rsid w:val="00BB06E1"/>
    <w:rsid w:val="00BC04B6"/>
    <w:rsid w:val="00BC0E68"/>
    <w:rsid w:val="00BC2A24"/>
    <w:rsid w:val="00BC703C"/>
    <w:rsid w:val="00BC75FE"/>
    <w:rsid w:val="00BD593A"/>
    <w:rsid w:val="00BD75B7"/>
    <w:rsid w:val="00BD7844"/>
    <w:rsid w:val="00BF2D8F"/>
    <w:rsid w:val="00C0005A"/>
    <w:rsid w:val="00C02308"/>
    <w:rsid w:val="00C02B89"/>
    <w:rsid w:val="00C03CB4"/>
    <w:rsid w:val="00C03D62"/>
    <w:rsid w:val="00C11445"/>
    <w:rsid w:val="00C36A85"/>
    <w:rsid w:val="00C431E2"/>
    <w:rsid w:val="00C45651"/>
    <w:rsid w:val="00C618CA"/>
    <w:rsid w:val="00C7411A"/>
    <w:rsid w:val="00C8061E"/>
    <w:rsid w:val="00C80BA5"/>
    <w:rsid w:val="00C818EE"/>
    <w:rsid w:val="00C863DC"/>
    <w:rsid w:val="00C93318"/>
    <w:rsid w:val="00C94D38"/>
    <w:rsid w:val="00CA284B"/>
    <w:rsid w:val="00CA6A29"/>
    <w:rsid w:val="00CA7B56"/>
    <w:rsid w:val="00CB4979"/>
    <w:rsid w:val="00CB4CD9"/>
    <w:rsid w:val="00CB79F0"/>
    <w:rsid w:val="00CC07E1"/>
    <w:rsid w:val="00CC2A9B"/>
    <w:rsid w:val="00CD3EF2"/>
    <w:rsid w:val="00CE03F2"/>
    <w:rsid w:val="00CE0D2D"/>
    <w:rsid w:val="00CF0A2C"/>
    <w:rsid w:val="00CF7C99"/>
    <w:rsid w:val="00D0393F"/>
    <w:rsid w:val="00D05C0A"/>
    <w:rsid w:val="00D06886"/>
    <w:rsid w:val="00D1457F"/>
    <w:rsid w:val="00D15DA9"/>
    <w:rsid w:val="00D33A96"/>
    <w:rsid w:val="00D3415B"/>
    <w:rsid w:val="00D559C0"/>
    <w:rsid w:val="00D57596"/>
    <w:rsid w:val="00D57820"/>
    <w:rsid w:val="00D613C4"/>
    <w:rsid w:val="00D63865"/>
    <w:rsid w:val="00D65BDF"/>
    <w:rsid w:val="00D66880"/>
    <w:rsid w:val="00D71212"/>
    <w:rsid w:val="00D7187A"/>
    <w:rsid w:val="00D7234C"/>
    <w:rsid w:val="00D77A0D"/>
    <w:rsid w:val="00D80A43"/>
    <w:rsid w:val="00D8300D"/>
    <w:rsid w:val="00D8428F"/>
    <w:rsid w:val="00D861E4"/>
    <w:rsid w:val="00D90804"/>
    <w:rsid w:val="00D93344"/>
    <w:rsid w:val="00D96469"/>
    <w:rsid w:val="00D9712B"/>
    <w:rsid w:val="00DA4402"/>
    <w:rsid w:val="00DA7299"/>
    <w:rsid w:val="00DA7A03"/>
    <w:rsid w:val="00DB0ABD"/>
    <w:rsid w:val="00DB1171"/>
    <w:rsid w:val="00DB17EC"/>
    <w:rsid w:val="00DB569E"/>
    <w:rsid w:val="00DC3675"/>
    <w:rsid w:val="00DC4FA1"/>
    <w:rsid w:val="00DD2C19"/>
    <w:rsid w:val="00DE0071"/>
    <w:rsid w:val="00DE2AE1"/>
    <w:rsid w:val="00DE3159"/>
    <w:rsid w:val="00DF0EB5"/>
    <w:rsid w:val="00E03221"/>
    <w:rsid w:val="00E05CB4"/>
    <w:rsid w:val="00E160AE"/>
    <w:rsid w:val="00E21F1A"/>
    <w:rsid w:val="00E30AFA"/>
    <w:rsid w:val="00E40A3E"/>
    <w:rsid w:val="00E44901"/>
    <w:rsid w:val="00E5164E"/>
    <w:rsid w:val="00E55B2D"/>
    <w:rsid w:val="00E561CE"/>
    <w:rsid w:val="00E575C1"/>
    <w:rsid w:val="00E621DA"/>
    <w:rsid w:val="00E63A83"/>
    <w:rsid w:val="00E7217C"/>
    <w:rsid w:val="00E72470"/>
    <w:rsid w:val="00E745CA"/>
    <w:rsid w:val="00E87607"/>
    <w:rsid w:val="00E92508"/>
    <w:rsid w:val="00E92680"/>
    <w:rsid w:val="00E93B18"/>
    <w:rsid w:val="00E941F5"/>
    <w:rsid w:val="00E96157"/>
    <w:rsid w:val="00EA2734"/>
    <w:rsid w:val="00EB380C"/>
    <w:rsid w:val="00EB67BD"/>
    <w:rsid w:val="00EB69DE"/>
    <w:rsid w:val="00EC0B1E"/>
    <w:rsid w:val="00EC3981"/>
    <w:rsid w:val="00EC398D"/>
    <w:rsid w:val="00EC7C34"/>
    <w:rsid w:val="00ED2BDE"/>
    <w:rsid w:val="00ED2DDA"/>
    <w:rsid w:val="00EE405C"/>
    <w:rsid w:val="00EF5DBC"/>
    <w:rsid w:val="00EF6758"/>
    <w:rsid w:val="00EF6F80"/>
    <w:rsid w:val="00EF760C"/>
    <w:rsid w:val="00F060E7"/>
    <w:rsid w:val="00F11308"/>
    <w:rsid w:val="00F14B51"/>
    <w:rsid w:val="00F23AC9"/>
    <w:rsid w:val="00F268A8"/>
    <w:rsid w:val="00F26C67"/>
    <w:rsid w:val="00F27162"/>
    <w:rsid w:val="00F30600"/>
    <w:rsid w:val="00F42854"/>
    <w:rsid w:val="00F43E5C"/>
    <w:rsid w:val="00F52EF4"/>
    <w:rsid w:val="00F55351"/>
    <w:rsid w:val="00F57181"/>
    <w:rsid w:val="00F63685"/>
    <w:rsid w:val="00F71B92"/>
    <w:rsid w:val="00F8101E"/>
    <w:rsid w:val="00F81BA9"/>
    <w:rsid w:val="00F9478A"/>
    <w:rsid w:val="00F968AD"/>
    <w:rsid w:val="00FA1512"/>
    <w:rsid w:val="00FA2DB1"/>
    <w:rsid w:val="00FA3353"/>
    <w:rsid w:val="00FB005B"/>
    <w:rsid w:val="00FB37FE"/>
    <w:rsid w:val="00FC6A48"/>
    <w:rsid w:val="00FD3690"/>
    <w:rsid w:val="00FD5A24"/>
    <w:rsid w:val="00FF79C9"/>
    <w:rsid w:val="0656B64B"/>
    <w:rsid w:val="06EDB02B"/>
    <w:rsid w:val="07C8CC0E"/>
    <w:rsid w:val="08ADB821"/>
    <w:rsid w:val="0BB938B6"/>
    <w:rsid w:val="0C306CD5"/>
    <w:rsid w:val="0C626587"/>
    <w:rsid w:val="11547504"/>
    <w:rsid w:val="1272BA21"/>
    <w:rsid w:val="130827F6"/>
    <w:rsid w:val="13DA8755"/>
    <w:rsid w:val="157F9D05"/>
    <w:rsid w:val="15AFFC49"/>
    <w:rsid w:val="15D20B4C"/>
    <w:rsid w:val="19BFA7FB"/>
    <w:rsid w:val="1B83476D"/>
    <w:rsid w:val="1E87FB1B"/>
    <w:rsid w:val="23482486"/>
    <w:rsid w:val="2381503C"/>
    <w:rsid w:val="2545CC5F"/>
    <w:rsid w:val="26EBAE63"/>
    <w:rsid w:val="28641287"/>
    <w:rsid w:val="2911801C"/>
    <w:rsid w:val="2A9856F6"/>
    <w:rsid w:val="2CBF452C"/>
    <w:rsid w:val="31464B7F"/>
    <w:rsid w:val="333CD8AF"/>
    <w:rsid w:val="352A5601"/>
    <w:rsid w:val="358C677F"/>
    <w:rsid w:val="38B56B40"/>
    <w:rsid w:val="396B8EC4"/>
    <w:rsid w:val="3BD99E53"/>
    <w:rsid w:val="408C8D2D"/>
    <w:rsid w:val="437CA03D"/>
    <w:rsid w:val="44236764"/>
    <w:rsid w:val="44570E39"/>
    <w:rsid w:val="453F533E"/>
    <w:rsid w:val="45A78D5E"/>
    <w:rsid w:val="46D39223"/>
    <w:rsid w:val="49DF5384"/>
    <w:rsid w:val="4A2FFD7C"/>
    <w:rsid w:val="4AA55599"/>
    <w:rsid w:val="4C860421"/>
    <w:rsid w:val="4C9C3DF3"/>
    <w:rsid w:val="4D44C379"/>
    <w:rsid w:val="51B243DF"/>
    <w:rsid w:val="52115E83"/>
    <w:rsid w:val="53F7BE76"/>
    <w:rsid w:val="562067DA"/>
    <w:rsid w:val="587E1CC7"/>
    <w:rsid w:val="5FFE8564"/>
    <w:rsid w:val="61108BAD"/>
    <w:rsid w:val="6182D89D"/>
    <w:rsid w:val="61E19ABA"/>
    <w:rsid w:val="63E5091A"/>
    <w:rsid w:val="643A51CD"/>
    <w:rsid w:val="6521D0A7"/>
    <w:rsid w:val="66615402"/>
    <w:rsid w:val="692AE70A"/>
    <w:rsid w:val="69328246"/>
    <w:rsid w:val="6A912862"/>
    <w:rsid w:val="6D094121"/>
    <w:rsid w:val="6E071FA4"/>
    <w:rsid w:val="6EB5D670"/>
    <w:rsid w:val="71E99E29"/>
    <w:rsid w:val="71ECAB51"/>
    <w:rsid w:val="768E9212"/>
    <w:rsid w:val="774DFC90"/>
    <w:rsid w:val="77A0674F"/>
    <w:rsid w:val="79B70614"/>
    <w:rsid w:val="7B0CB234"/>
    <w:rsid w:val="7D40B96C"/>
    <w:rsid w:val="7E20B454"/>
    <w:rsid w:val="7E3C2642"/>
    <w:rsid w:val="7F8AF2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FA21"/>
  <w15:chartTrackingRefBased/>
  <w15:docId w15:val="{07CAA249-5283-4522-8E76-0CC435B3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W Body Copy"/>
    <w:qFormat/>
    <w:rsid w:val="00600839"/>
    <w:pPr>
      <w:spacing w:after="0" w:line="240" w:lineRule="auto"/>
    </w:pPr>
    <w:rPr>
      <w:color w:val="4D4D4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839"/>
    <w:rPr>
      <w:color w:val="0000FF"/>
      <w:u w:val="single"/>
    </w:rPr>
  </w:style>
  <w:style w:type="table" w:styleId="TableGrid">
    <w:name w:val="Table Grid"/>
    <w:basedOn w:val="TableNormal"/>
    <w:uiPriority w:val="39"/>
    <w:rsid w:val="0060083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46B3"/>
    <w:rPr>
      <w:sz w:val="16"/>
      <w:szCs w:val="16"/>
    </w:rPr>
  </w:style>
  <w:style w:type="paragraph" w:styleId="CommentText">
    <w:name w:val="annotation text"/>
    <w:basedOn w:val="Normal"/>
    <w:link w:val="CommentTextChar"/>
    <w:uiPriority w:val="99"/>
    <w:unhideWhenUsed/>
    <w:rsid w:val="007946B3"/>
    <w:rPr>
      <w:sz w:val="20"/>
      <w:szCs w:val="20"/>
    </w:rPr>
  </w:style>
  <w:style w:type="character" w:customStyle="1" w:styleId="CommentTextChar">
    <w:name w:val="Comment Text Char"/>
    <w:basedOn w:val="DefaultParagraphFont"/>
    <w:link w:val="CommentText"/>
    <w:uiPriority w:val="99"/>
    <w:rsid w:val="007946B3"/>
    <w:rPr>
      <w:color w:val="4D4D4C"/>
      <w:sz w:val="20"/>
      <w:szCs w:val="20"/>
    </w:rPr>
  </w:style>
  <w:style w:type="paragraph" w:styleId="CommentSubject">
    <w:name w:val="annotation subject"/>
    <w:basedOn w:val="CommentText"/>
    <w:next w:val="CommentText"/>
    <w:link w:val="CommentSubjectChar"/>
    <w:uiPriority w:val="99"/>
    <w:semiHidden/>
    <w:unhideWhenUsed/>
    <w:rsid w:val="007946B3"/>
    <w:rPr>
      <w:b/>
      <w:bCs/>
    </w:rPr>
  </w:style>
  <w:style w:type="character" w:customStyle="1" w:styleId="CommentSubjectChar">
    <w:name w:val="Comment Subject Char"/>
    <w:basedOn w:val="CommentTextChar"/>
    <w:link w:val="CommentSubject"/>
    <w:uiPriority w:val="99"/>
    <w:semiHidden/>
    <w:rsid w:val="007946B3"/>
    <w:rPr>
      <w:b/>
      <w:bCs/>
      <w:color w:val="4D4D4C"/>
      <w:sz w:val="20"/>
      <w:szCs w:val="20"/>
    </w:rPr>
  </w:style>
  <w:style w:type="character" w:styleId="Mention">
    <w:name w:val="Mention"/>
    <w:basedOn w:val="DefaultParagraphFont"/>
    <w:uiPriority w:val="99"/>
    <w:unhideWhenUsed/>
    <w:rsid w:val="007946B3"/>
    <w:rPr>
      <w:color w:val="2B579A"/>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ui-provider">
    <w:name w:val="ui-provider"/>
    <w:basedOn w:val="DefaultParagraphFont"/>
    <w:rsid w:val="002051C4"/>
  </w:style>
  <w:style w:type="paragraph" w:styleId="ListParagraph">
    <w:name w:val="List Paragraph"/>
    <w:basedOn w:val="Normal"/>
    <w:uiPriority w:val="34"/>
    <w:qFormat/>
    <w:rsid w:val="00DC4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8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gcatfinancial.co.uk/platformanalyser/"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37D148EC3694C8A857D5DE00FD2B7" ma:contentTypeVersion="15" ma:contentTypeDescription="Create a new document." ma:contentTypeScope="" ma:versionID="3368276e9e285c135dd477e8fc6cdc07">
  <xsd:schema xmlns:xsd="http://www.w3.org/2001/XMLSchema" xmlns:xs="http://www.w3.org/2001/XMLSchema" xmlns:p="http://schemas.microsoft.com/office/2006/metadata/properties" xmlns:ns2="48734081-da93-4412-8c56-0403f6142375" xmlns:ns3="34f7dabc-ea64-4803-8539-ce7cd623e0fa" targetNamespace="http://schemas.microsoft.com/office/2006/metadata/properties" ma:root="true" ma:fieldsID="109d4ed43c76ad9bd11a84c35e3ffb50" ns2:_="" ns3:_="">
    <xsd:import namespace="48734081-da93-4412-8c56-0403f6142375"/>
    <xsd:import namespace="34f7dabc-ea64-4803-8539-ce7cd623e0f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4081-da93-4412-8c56-0403f6142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2ae3159-6449-4f01-9d85-1405fbffbf0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f7dabc-ea64-4803-8539-ce7cd623e0f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b66961-ea8b-495f-9e1a-67d023e47a38}" ma:internalName="TaxCatchAll" ma:showField="CatchAllData" ma:web="34f7dabc-ea64-4803-8539-ce7cd623e0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734081-da93-4412-8c56-0403f6142375">
      <Terms xmlns="http://schemas.microsoft.com/office/infopath/2007/PartnerControls"/>
    </lcf76f155ced4ddcb4097134ff3c332f>
    <TaxCatchAll xmlns="34f7dabc-ea64-4803-8539-ce7cd623e0fa" xsi:nil="true"/>
  </documentManagement>
</p:properties>
</file>

<file path=customXml/itemProps1.xml><?xml version="1.0" encoding="utf-8"?>
<ds:datastoreItem xmlns:ds="http://schemas.openxmlformats.org/officeDocument/2006/customXml" ds:itemID="{8D6B786B-0060-4A37-A240-680980ABC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4081-da93-4412-8c56-0403f6142375"/>
    <ds:schemaRef ds:uri="34f7dabc-ea64-4803-8539-ce7cd623e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5F38E-D4F6-43CF-B915-64624B6AE343}">
  <ds:schemaRefs>
    <ds:schemaRef ds:uri="http://schemas.microsoft.com/sharepoint/v3/contenttype/forms"/>
  </ds:schemaRefs>
</ds:datastoreItem>
</file>

<file path=customXml/itemProps3.xml><?xml version="1.0" encoding="utf-8"?>
<ds:datastoreItem xmlns:ds="http://schemas.openxmlformats.org/officeDocument/2006/customXml" ds:itemID="{C022E0DE-50B7-41B5-A23B-5C5D62B02DDC}">
  <ds:schemaRefs>
    <ds:schemaRef ds:uri="http://schemas.microsoft.com/office/2006/metadata/properties"/>
    <ds:schemaRef ds:uri="http://schemas.microsoft.com/office/infopath/2007/PartnerControls"/>
    <ds:schemaRef ds:uri="48734081-da93-4412-8c56-0403f6142375"/>
    <ds:schemaRef ds:uri="34f7dabc-ea64-4803-8539-ce7cd623e0f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3816</Characters>
  <Application>Microsoft Office Word</Application>
  <DocSecurity>4</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Ellis</dc:creator>
  <cp:keywords/>
  <dc:description/>
  <cp:lastModifiedBy>Nicola Cannings</cp:lastModifiedBy>
  <cp:revision>289</cp:revision>
  <cp:lastPrinted>2023-05-24T05:30:00Z</cp:lastPrinted>
  <dcterms:created xsi:type="dcterms:W3CDTF">2024-08-22T07:17:00Z</dcterms:created>
  <dcterms:modified xsi:type="dcterms:W3CDTF">2024-11-14T16:39:00Z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0x010100AFB37D148EC3694C8A857D5DE00FD2B7</vt:lpwstr>
  </property>
  <property fmtid="{D5CDD505-2E9C-101B-9397-08002B2CF9AE}" pid="3" name="MediaServiceImageTags">
    <vt:lpwstr/>
  </property>
</Properties>
</file>