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BA606" w14:textId="1DE808B9" w:rsidR="00600839" w:rsidRPr="00B55BC4" w:rsidRDefault="774DFC90" w:rsidP="00600839">
      <w:pPr>
        <w:rPr>
          <w:rFonts w:ascii="Poppins" w:hAnsi="Poppins" w:cs="Poppins"/>
        </w:rPr>
      </w:pPr>
      <w:r w:rsidRPr="00B55BC4">
        <w:rPr>
          <w:rFonts w:ascii="Poppins" w:hAnsi="Poppins" w:cs="Poppins"/>
          <w:noProof/>
        </w:rPr>
        <w:drawing>
          <wp:inline distT="0" distB="0" distL="0" distR="0" wp14:anchorId="56D54D5F" wp14:editId="616A864F">
            <wp:extent cx="4396229" cy="888404"/>
            <wp:effectExtent l="0" t="0" r="0" b="0"/>
            <wp:docPr id="1258879144" name="Picture 1258879144">
              <a:extLst xmlns:a="http://schemas.openxmlformats.org/drawingml/2006/main">
                <a:ext uri="{FF2B5EF4-FFF2-40B4-BE49-F238E27FC236}">
                  <a16:creationId xmlns:a16="http://schemas.microsoft.com/office/drawing/2014/main" id="{EEB9CC5D-F035-4EF8-9601-ADB834F54A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6229" cy="888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5BC4">
        <w:rPr>
          <w:rFonts w:ascii="Poppins" w:hAnsi="Poppins" w:cs="Poppins"/>
          <w:noProof/>
        </w:rPr>
        <w:drawing>
          <wp:inline distT="0" distB="0" distL="0" distR="0" wp14:anchorId="2B48777E" wp14:editId="1096DEDB">
            <wp:extent cx="1276350" cy="1352550"/>
            <wp:effectExtent l="0" t="0" r="0" b="0"/>
            <wp:docPr id="2084966068" name="Picture 2084966068">
              <a:extLst xmlns:a="http://schemas.openxmlformats.org/drawingml/2006/main">
                <a:ext uri="{FF2B5EF4-FFF2-40B4-BE49-F238E27FC236}">
                  <a16:creationId xmlns:a16="http://schemas.microsoft.com/office/drawing/2014/main" id="{3D9207E7-7A70-46FE-A4C3-F5DADCC277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2B89" w:rsidRPr="00B55BC4">
        <w:rPr>
          <w:rFonts w:ascii="Poppins" w:hAnsi="Poppins" w:cs="Poppins"/>
        </w:rPr>
        <w:br/>
      </w:r>
      <w:r w:rsidR="00C02B89" w:rsidRPr="00B55BC4">
        <w:rPr>
          <w:rFonts w:ascii="Poppins" w:hAnsi="Poppins" w:cs="Poppins"/>
        </w:rPr>
        <w:br/>
      </w:r>
    </w:p>
    <w:p w14:paraId="79855CF5" w14:textId="77777777" w:rsidR="00600839" w:rsidRPr="00B55BC4" w:rsidRDefault="00600839" w:rsidP="00600839">
      <w:pPr>
        <w:rPr>
          <w:rFonts w:ascii="Poppins" w:hAnsi="Poppins" w:cs="Poppins"/>
        </w:rPr>
      </w:pPr>
    </w:p>
    <w:p w14:paraId="6ECD179A" w14:textId="17CDE005" w:rsidR="00334400" w:rsidRPr="00B55BC4" w:rsidRDefault="0035144F" w:rsidP="00334400">
      <w:pPr>
        <w:jc w:val="center"/>
        <w:rPr>
          <w:rFonts w:ascii="Poppins" w:hAnsi="Poppins" w:cs="Poppins"/>
          <w:b/>
          <w:bCs/>
          <w:sz w:val="32"/>
          <w:szCs w:val="32"/>
        </w:rPr>
      </w:pPr>
      <w:r>
        <w:rPr>
          <w:rFonts w:ascii="Poppins" w:hAnsi="Poppins" w:cs="Poppins"/>
          <w:b/>
          <w:bCs/>
          <w:sz w:val="32"/>
          <w:szCs w:val="32"/>
        </w:rPr>
        <w:t xml:space="preserve">ADVISED PLATFORMS SEE BEST QUARTERLY GROWTH </w:t>
      </w:r>
      <w:r w:rsidR="001048E7">
        <w:rPr>
          <w:rFonts w:ascii="Poppins" w:hAnsi="Poppins" w:cs="Poppins"/>
          <w:b/>
          <w:bCs/>
          <w:sz w:val="32"/>
          <w:szCs w:val="32"/>
        </w:rPr>
        <w:t>FOR SIX YEARS IN Q2 2026</w:t>
      </w:r>
    </w:p>
    <w:p w14:paraId="735D0EB5" w14:textId="77777777" w:rsidR="005C041A" w:rsidRPr="00B55BC4" w:rsidRDefault="005C041A" w:rsidP="00BF2D8F">
      <w:pPr>
        <w:rPr>
          <w:rFonts w:ascii="Poppins" w:hAnsi="Poppins" w:cs="Poppins"/>
          <w:b/>
          <w:bCs/>
          <w:sz w:val="32"/>
          <w:szCs w:val="32"/>
        </w:rPr>
      </w:pPr>
    </w:p>
    <w:p w14:paraId="4210A7FB" w14:textId="33946A49" w:rsidR="005C041A" w:rsidRPr="00B55BC4" w:rsidRDefault="005C041A" w:rsidP="005C041A">
      <w:pPr>
        <w:pStyle w:val="ListParagraph"/>
        <w:numPr>
          <w:ilvl w:val="0"/>
          <w:numId w:val="1"/>
        </w:numPr>
        <w:rPr>
          <w:rFonts w:ascii="Poppins" w:hAnsi="Poppins" w:cs="Poppins"/>
          <w:i/>
          <w:color w:val="3B3838" w:themeColor="background2" w:themeShade="40"/>
        </w:rPr>
      </w:pPr>
      <w:r w:rsidRPr="00B55BC4">
        <w:rPr>
          <w:rFonts w:ascii="Poppins" w:hAnsi="Poppins" w:cs="Poppins"/>
          <w:i/>
          <w:color w:val="3B3838" w:themeColor="background2" w:themeShade="40"/>
        </w:rPr>
        <w:t xml:space="preserve">Advised platform </w:t>
      </w:r>
      <w:r w:rsidR="00E941F5" w:rsidRPr="00B55BC4">
        <w:rPr>
          <w:rFonts w:ascii="Poppins" w:hAnsi="Poppins" w:cs="Poppins"/>
          <w:i/>
          <w:color w:val="3B3838" w:themeColor="background2" w:themeShade="40"/>
        </w:rPr>
        <w:t xml:space="preserve">quarterly </w:t>
      </w:r>
      <w:r w:rsidR="00DA0DD7">
        <w:rPr>
          <w:rFonts w:ascii="Poppins" w:hAnsi="Poppins" w:cs="Poppins"/>
          <w:i/>
          <w:color w:val="3B3838" w:themeColor="background2" w:themeShade="40"/>
        </w:rPr>
        <w:t xml:space="preserve">AUM </w:t>
      </w:r>
      <w:r w:rsidR="00196294">
        <w:rPr>
          <w:rFonts w:ascii="Poppins" w:hAnsi="Poppins" w:cs="Poppins"/>
          <w:i/>
          <w:color w:val="3B3838" w:themeColor="background2" w:themeShade="40"/>
        </w:rPr>
        <w:t>+9.</w:t>
      </w:r>
      <w:r w:rsidR="00781866">
        <w:rPr>
          <w:rFonts w:ascii="Poppins" w:hAnsi="Poppins" w:cs="Poppins"/>
          <w:i/>
          <w:color w:val="3B3838" w:themeColor="background2" w:themeShade="40"/>
        </w:rPr>
        <w:t>24</w:t>
      </w:r>
      <w:r w:rsidR="00196294">
        <w:rPr>
          <w:rFonts w:ascii="Poppins" w:hAnsi="Poppins" w:cs="Poppins"/>
          <w:i/>
          <w:color w:val="3B3838" w:themeColor="background2" w:themeShade="40"/>
        </w:rPr>
        <w:t>%</w:t>
      </w:r>
    </w:p>
    <w:p w14:paraId="6A4CFF06" w14:textId="2C1794AF" w:rsidR="005C041A" w:rsidRPr="00B55BC4" w:rsidRDefault="38F039BF" w:rsidP="2C809AD0">
      <w:pPr>
        <w:numPr>
          <w:ilvl w:val="0"/>
          <w:numId w:val="1"/>
        </w:numPr>
        <w:rPr>
          <w:rFonts w:ascii="Poppins" w:hAnsi="Poppins" w:cs="Poppins"/>
          <w:i/>
          <w:iCs/>
          <w:color w:val="3B3838" w:themeColor="background2" w:themeShade="40"/>
        </w:rPr>
      </w:pPr>
      <w:r w:rsidRPr="2C809AD0">
        <w:rPr>
          <w:rFonts w:ascii="Poppins" w:hAnsi="Poppins" w:cs="Poppins"/>
          <w:i/>
          <w:iCs/>
          <w:color w:val="3B3838" w:themeColor="background2" w:themeShade="40"/>
        </w:rPr>
        <w:t>Outflows flat on previous quarter, £18.53bn</w:t>
      </w:r>
    </w:p>
    <w:p w14:paraId="3ED8216D" w14:textId="3C3034A9" w:rsidR="005C041A" w:rsidRPr="00B55BC4" w:rsidRDefault="003723EC" w:rsidP="08ADB821">
      <w:pPr>
        <w:numPr>
          <w:ilvl w:val="0"/>
          <w:numId w:val="1"/>
        </w:numPr>
        <w:rPr>
          <w:rFonts w:ascii="Poppins" w:hAnsi="Poppins" w:cs="Poppins"/>
          <w:i/>
          <w:iCs/>
          <w:color w:val="3B3838" w:themeColor="background2" w:themeShade="40"/>
        </w:rPr>
      </w:pPr>
      <w:r>
        <w:rPr>
          <w:rFonts w:ascii="Poppins" w:hAnsi="Poppins" w:cs="Poppins"/>
          <w:i/>
          <w:iCs/>
          <w:color w:val="3B3838" w:themeColor="background2" w:themeShade="40"/>
        </w:rPr>
        <w:t xml:space="preserve">Gross sales </w:t>
      </w:r>
      <w:r w:rsidR="00196294">
        <w:rPr>
          <w:rFonts w:ascii="Poppins" w:hAnsi="Poppins" w:cs="Poppins"/>
          <w:i/>
          <w:iCs/>
          <w:color w:val="3B3838" w:themeColor="background2" w:themeShade="40"/>
        </w:rPr>
        <w:t>down modestly, -</w:t>
      </w:r>
      <w:r w:rsidR="000177C3">
        <w:rPr>
          <w:rFonts w:ascii="Poppins" w:hAnsi="Poppins" w:cs="Poppins"/>
          <w:i/>
          <w:iCs/>
          <w:color w:val="3B3838" w:themeColor="background2" w:themeShade="40"/>
        </w:rPr>
        <w:t>2.72%, on record-breaking Q1 2026</w:t>
      </w:r>
    </w:p>
    <w:p w14:paraId="788DF69B" w14:textId="00718F8F" w:rsidR="71ECAB51" w:rsidRPr="00B55BC4" w:rsidRDefault="007B249D" w:rsidP="08ADB821">
      <w:pPr>
        <w:pStyle w:val="ListParagraph"/>
        <w:numPr>
          <w:ilvl w:val="0"/>
          <w:numId w:val="1"/>
        </w:numPr>
        <w:rPr>
          <w:rFonts w:ascii="Poppins" w:hAnsi="Poppins" w:cs="Poppins"/>
          <w:i/>
          <w:iCs/>
          <w:color w:val="3B3838" w:themeColor="background2" w:themeShade="40"/>
        </w:rPr>
      </w:pPr>
      <w:r>
        <w:rPr>
          <w:rFonts w:ascii="Poppins" w:hAnsi="Poppins" w:cs="Poppins"/>
          <w:i/>
          <w:iCs/>
          <w:color w:val="3B3838" w:themeColor="background2" w:themeShade="40"/>
        </w:rPr>
        <w:t xml:space="preserve">Net sales </w:t>
      </w:r>
      <w:r w:rsidR="00B53B34">
        <w:rPr>
          <w:rFonts w:ascii="Poppins" w:hAnsi="Poppins" w:cs="Poppins"/>
          <w:i/>
          <w:iCs/>
          <w:color w:val="3B3838" w:themeColor="background2" w:themeShade="40"/>
        </w:rPr>
        <w:t>-8.95% on Q1 2026 to £7.36bn</w:t>
      </w:r>
    </w:p>
    <w:p w14:paraId="673DEBD3" w14:textId="7837E177" w:rsidR="71ECAB51" w:rsidRPr="00B55BC4" w:rsidRDefault="71ECAB51" w:rsidP="71ECAB51">
      <w:pPr>
        <w:rPr>
          <w:rFonts w:ascii="Poppins" w:hAnsi="Poppins" w:cs="Poppins"/>
        </w:rPr>
      </w:pPr>
    </w:p>
    <w:p w14:paraId="43153919" w14:textId="20DD5E72" w:rsidR="005E1C1B" w:rsidRDefault="00A03465">
      <w:pPr>
        <w:rPr>
          <w:rFonts w:ascii="Poppins" w:hAnsi="Poppins" w:cs="Poppins"/>
        </w:rPr>
      </w:pPr>
      <w:r>
        <w:rPr>
          <w:rFonts w:ascii="Poppins" w:hAnsi="Poppins" w:cs="Poppins"/>
        </w:rPr>
        <w:t>Assets across advised platforms grew by 9.</w:t>
      </w:r>
      <w:r w:rsidR="008E5A1C">
        <w:rPr>
          <w:rFonts w:ascii="Poppins" w:hAnsi="Poppins" w:cs="Poppins"/>
        </w:rPr>
        <w:t>2</w:t>
      </w:r>
      <w:r>
        <w:rPr>
          <w:rFonts w:ascii="Poppins" w:hAnsi="Poppins" w:cs="Poppins"/>
        </w:rPr>
        <w:t xml:space="preserve">4% on the previous quarter – the highest quarterly growth figure since Q2 2020 </w:t>
      </w:r>
      <w:r w:rsidR="00310B12">
        <w:rPr>
          <w:rFonts w:ascii="Poppins" w:hAnsi="Poppins" w:cs="Poppins"/>
        </w:rPr>
        <w:t xml:space="preserve">– </w:t>
      </w:r>
      <w:r w:rsidR="005E1C1B">
        <w:rPr>
          <w:rFonts w:ascii="Poppins" w:hAnsi="Poppins" w:cs="Poppins"/>
        </w:rPr>
        <w:t xml:space="preserve">despite a modest drop in flows. </w:t>
      </w:r>
    </w:p>
    <w:p w14:paraId="469CD05A" w14:textId="77777777" w:rsidR="005E1C1B" w:rsidRDefault="005E1C1B">
      <w:pPr>
        <w:rPr>
          <w:rFonts w:ascii="Poppins" w:hAnsi="Poppins" w:cs="Poppins"/>
        </w:rPr>
      </w:pPr>
    </w:p>
    <w:p w14:paraId="0228C41C" w14:textId="77777777" w:rsidR="00AD33A8" w:rsidRDefault="00B45C7D">
      <w:pPr>
        <w:rPr>
          <w:rFonts w:ascii="Poppins" w:hAnsi="Poppins" w:cs="Poppins"/>
        </w:rPr>
      </w:pPr>
      <w:r>
        <w:rPr>
          <w:rFonts w:ascii="Poppins" w:hAnsi="Poppins" w:cs="Poppins"/>
        </w:rPr>
        <w:t xml:space="preserve">The growth reflects the positive market movement in the second quarter after the </w:t>
      </w:r>
      <w:r w:rsidR="00AD33A8">
        <w:rPr>
          <w:rFonts w:ascii="Poppins" w:hAnsi="Poppins" w:cs="Poppins"/>
        </w:rPr>
        <w:t xml:space="preserve">conflict in Iran and the Middle East meant no growth in the first three months of the year. </w:t>
      </w:r>
    </w:p>
    <w:p w14:paraId="0F0C9854" w14:textId="77777777" w:rsidR="00AD33A8" w:rsidRDefault="00AD33A8">
      <w:pPr>
        <w:rPr>
          <w:rFonts w:ascii="Poppins" w:hAnsi="Poppins" w:cs="Poppins"/>
        </w:rPr>
      </w:pPr>
    </w:p>
    <w:p w14:paraId="4DF34C5C" w14:textId="6E117F7F" w:rsidR="005D1A1E" w:rsidRDefault="798B29CB">
      <w:pPr>
        <w:rPr>
          <w:rFonts w:ascii="Poppins" w:hAnsi="Poppins" w:cs="Poppins"/>
        </w:rPr>
      </w:pPr>
      <w:r w:rsidRPr="53970307">
        <w:rPr>
          <w:rFonts w:ascii="Poppins" w:hAnsi="Poppins" w:cs="Poppins"/>
        </w:rPr>
        <w:t xml:space="preserve">New business </w:t>
      </w:r>
      <w:r w:rsidR="54CBE7B5" w:rsidRPr="53970307">
        <w:rPr>
          <w:rFonts w:ascii="Poppins" w:hAnsi="Poppins" w:cs="Poppins"/>
        </w:rPr>
        <w:t xml:space="preserve">flows </w:t>
      </w:r>
      <w:r w:rsidRPr="53970307">
        <w:rPr>
          <w:rFonts w:ascii="Poppins" w:hAnsi="Poppins" w:cs="Poppins"/>
        </w:rPr>
        <w:t>were down modestly</w:t>
      </w:r>
      <w:r w:rsidR="28B7FD80" w:rsidRPr="53970307">
        <w:rPr>
          <w:rFonts w:ascii="Poppins" w:hAnsi="Poppins" w:cs="Poppins"/>
        </w:rPr>
        <w:t xml:space="preserve"> to £25.88bn on a record-breaking first quarter of 2026, but still represent the second-best quarter for gross sales on r</w:t>
      </w:r>
      <w:r w:rsidR="7505A363" w:rsidRPr="53970307">
        <w:rPr>
          <w:rFonts w:ascii="Poppins" w:hAnsi="Poppins" w:cs="Poppins"/>
        </w:rPr>
        <w:t>ecord</w:t>
      </w:r>
      <w:r w:rsidR="2EA3201B" w:rsidRPr="53970307">
        <w:rPr>
          <w:rFonts w:ascii="Poppins" w:hAnsi="Poppins" w:cs="Poppins"/>
        </w:rPr>
        <w:t>, helped by strong</w:t>
      </w:r>
      <w:r w:rsidR="06BA988E" w:rsidRPr="53970307">
        <w:rPr>
          <w:rFonts w:ascii="Poppins" w:hAnsi="Poppins" w:cs="Poppins"/>
        </w:rPr>
        <w:t>er</w:t>
      </w:r>
      <w:r w:rsidR="2EA3201B" w:rsidRPr="53970307">
        <w:rPr>
          <w:rFonts w:ascii="Poppins" w:hAnsi="Poppins" w:cs="Poppins"/>
        </w:rPr>
        <w:t xml:space="preserve"> ISA </w:t>
      </w:r>
      <w:r w:rsidR="76423E64" w:rsidRPr="53970307">
        <w:rPr>
          <w:rFonts w:ascii="Poppins" w:hAnsi="Poppins" w:cs="Poppins"/>
        </w:rPr>
        <w:t>sales</w:t>
      </w:r>
      <w:r w:rsidR="15852FB3" w:rsidRPr="45209F2E">
        <w:rPr>
          <w:rFonts w:ascii="Poppins" w:hAnsi="Poppins" w:cs="Poppins"/>
        </w:rPr>
        <w:t>.</w:t>
      </w:r>
    </w:p>
    <w:p w14:paraId="05E63520" w14:textId="77777777" w:rsidR="001E4B3B" w:rsidRDefault="001E4B3B">
      <w:pPr>
        <w:rPr>
          <w:rFonts w:ascii="Poppins" w:hAnsi="Poppins" w:cs="Poppins"/>
        </w:rPr>
      </w:pPr>
    </w:p>
    <w:p w14:paraId="289CD459" w14:textId="2A611CFA" w:rsidR="001E4B3B" w:rsidRDefault="001E4B3B">
      <w:pPr>
        <w:rPr>
          <w:rFonts w:ascii="Poppins" w:hAnsi="Poppins" w:cs="Poppins"/>
        </w:rPr>
      </w:pPr>
      <w:r>
        <w:rPr>
          <w:rFonts w:ascii="Poppins" w:hAnsi="Poppins" w:cs="Poppins"/>
        </w:rPr>
        <w:t>Outflows across the advised platform market remained flat on the previous quarter</w:t>
      </w:r>
      <w:r w:rsidR="006C0247">
        <w:rPr>
          <w:rFonts w:ascii="Poppins" w:hAnsi="Poppins" w:cs="Poppins"/>
        </w:rPr>
        <w:t xml:space="preserve"> at £18.53bn after a sharp reduction in Q1 2026 following the </w:t>
      </w:r>
      <w:r w:rsidR="006B74E8">
        <w:rPr>
          <w:rFonts w:ascii="Poppins" w:hAnsi="Poppins" w:cs="Poppins"/>
        </w:rPr>
        <w:t xml:space="preserve">peak of Budget-related withdrawals in Q4 2025. </w:t>
      </w:r>
    </w:p>
    <w:p w14:paraId="6F4F738E" w14:textId="77777777" w:rsidR="005D1A1E" w:rsidRDefault="005D1A1E">
      <w:pPr>
        <w:rPr>
          <w:rFonts w:ascii="Poppins" w:hAnsi="Poppins" w:cs="Poppins"/>
        </w:rPr>
      </w:pPr>
    </w:p>
    <w:p w14:paraId="71F3653E" w14:textId="1A036CB8" w:rsidR="001D76B9" w:rsidRPr="00B55BC4" w:rsidRDefault="006B74E8">
      <w:pPr>
        <w:rPr>
          <w:rFonts w:ascii="Poppins" w:hAnsi="Poppins" w:cs="Poppins"/>
        </w:rPr>
      </w:pPr>
      <w:r>
        <w:rPr>
          <w:rFonts w:ascii="Poppins" w:hAnsi="Poppins" w:cs="Poppins"/>
        </w:rPr>
        <w:t xml:space="preserve">With gross sales down </w:t>
      </w:r>
      <w:r w:rsidR="00212175">
        <w:rPr>
          <w:rFonts w:ascii="Poppins" w:hAnsi="Poppins" w:cs="Poppins"/>
        </w:rPr>
        <w:t xml:space="preserve">and outflows flat, net sales are </w:t>
      </w:r>
      <w:r w:rsidR="00DB2E83">
        <w:rPr>
          <w:rFonts w:ascii="Poppins" w:hAnsi="Poppins" w:cs="Poppins"/>
        </w:rPr>
        <w:t xml:space="preserve">-8.95% on the first quarter </w:t>
      </w:r>
      <w:r w:rsidR="001E1442">
        <w:rPr>
          <w:rFonts w:ascii="Poppins" w:hAnsi="Poppins" w:cs="Poppins"/>
        </w:rPr>
        <w:t>of 2026</w:t>
      </w:r>
      <w:r w:rsidR="00932F79">
        <w:rPr>
          <w:rFonts w:ascii="Poppins" w:hAnsi="Poppins" w:cs="Poppins"/>
        </w:rPr>
        <w:t xml:space="preserve">, but still comfortably above the </w:t>
      </w:r>
      <w:r w:rsidR="00E66235">
        <w:rPr>
          <w:rFonts w:ascii="Poppins" w:hAnsi="Poppins" w:cs="Poppins"/>
        </w:rPr>
        <w:t xml:space="preserve">numbers seen since the invasion of Ukraine back in 2022 and subsequent rise in inflation, interest rates and further geopolitical volatility. </w:t>
      </w:r>
    </w:p>
    <w:p w14:paraId="08940BBF" w14:textId="77777777" w:rsidR="00405FC4" w:rsidRPr="00B55BC4" w:rsidRDefault="00405FC4">
      <w:pPr>
        <w:rPr>
          <w:rFonts w:ascii="Poppins" w:hAnsi="Poppins" w:cs="Poppins"/>
        </w:rPr>
      </w:pPr>
    </w:p>
    <w:p w14:paraId="5AB805F0" w14:textId="1D51A8C8" w:rsidR="00405FC4" w:rsidRPr="00DE662C" w:rsidRDefault="49FE6E69">
      <w:pPr>
        <w:rPr>
          <w:rFonts w:ascii="Poppins" w:hAnsi="Poppins" w:cs="Poppins"/>
          <w:b/>
          <w:bCs/>
          <w:color w:val="auto"/>
        </w:rPr>
      </w:pPr>
      <w:r w:rsidRPr="4B3AF484">
        <w:rPr>
          <w:rFonts w:ascii="Poppins" w:hAnsi="Poppins" w:cs="Poppins"/>
          <w:b/>
          <w:bCs/>
          <w:color w:val="auto"/>
        </w:rPr>
        <w:t xml:space="preserve">Rich Mayor, senior analyst at the lang cat, </w:t>
      </w:r>
      <w:r w:rsidR="68515B08" w:rsidRPr="4B3AF484">
        <w:rPr>
          <w:rFonts w:ascii="Poppins" w:hAnsi="Poppins" w:cs="Poppins"/>
          <w:b/>
          <w:bCs/>
          <w:color w:val="auto"/>
        </w:rPr>
        <w:t>said</w:t>
      </w:r>
      <w:r w:rsidRPr="4B3AF484">
        <w:rPr>
          <w:rFonts w:ascii="Poppins" w:hAnsi="Poppins" w:cs="Poppins"/>
          <w:b/>
          <w:bCs/>
          <w:color w:val="auto"/>
        </w:rPr>
        <w:t>:</w:t>
      </w:r>
      <w:r w:rsidR="3E2C9321" w:rsidRPr="4B3AF484">
        <w:rPr>
          <w:rFonts w:ascii="Poppins" w:hAnsi="Poppins" w:cs="Poppins"/>
          <w:b/>
          <w:bCs/>
          <w:color w:val="auto"/>
        </w:rPr>
        <w:t xml:space="preserve"> </w:t>
      </w:r>
      <w:r w:rsidR="2448FD70" w:rsidRPr="733D3563">
        <w:rPr>
          <w:rFonts w:ascii="Poppins" w:hAnsi="Poppins" w:cs="Poppins"/>
          <w:b/>
          <w:bCs/>
          <w:color w:val="auto"/>
        </w:rPr>
        <w:t>“</w:t>
      </w:r>
      <w:r w:rsidR="6169F6AE" w:rsidRPr="53970307">
        <w:rPr>
          <w:rFonts w:ascii="Poppins" w:hAnsi="Poppins" w:cs="Poppins"/>
          <w:color w:val="404040" w:themeColor="text1" w:themeTint="BF"/>
        </w:rPr>
        <w:t xml:space="preserve">The numbers so far in 2026 </w:t>
      </w:r>
      <w:r w:rsidR="7811F0D9" w:rsidRPr="53970307">
        <w:rPr>
          <w:rFonts w:ascii="Poppins" w:hAnsi="Poppins" w:cs="Poppins"/>
          <w:color w:val="404040" w:themeColor="text1" w:themeTint="BF"/>
        </w:rPr>
        <w:t>reflect</w:t>
      </w:r>
      <w:r w:rsidR="0CD4D66E" w:rsidRPr="53970307">
        <w:rPr>
          <w:rFonts w:ascii="Poppins" w:hAnsi="Poppins" w:cs="Poppins"/>
          <w:color w:val="404040" w:themeColor="text1" w:themeTint="BF"/>
        </w:rPr>
        <w:t xml:space="preserve"> the first half of 2025. We had no growth in the first quarter</w:t>
      </w:r>
      <w:r w:rsidR="31F103F6" w:rsidRPr="53970307">
        <w:rPr>
          <w:rFonts w:ascii="Poppins" w:hAnsi="Poppins" w:cs="Poppins"/>
          <w:color w:val="404040" w:themeColor="text1" w:themeTint="BF"/>
        </w:rPr>
        <w:t xml:space="preserve"> due to turmoil around the introduction of Tariffs in the US</w:t>
      </w:r>
      <w:r w:rsidR="0CD4D66E" w:rsidRPr="53970307">
        <w:rPr>
          <w:rFonts w:ascii="Poppins" w:hAnsi="Poppins" w:cs="Poppins"/>
          <w:color w:val="404040" w:themeColor="text1" w:themeTint="BF"/>
        </w:rPr>
        <w:t>, good growth in the second</w:t>
      </w:r>
      <w:r w:rsidR="31F103F6" w:rsidRPr="53970307">
        <w:rPr>
          <w:rFonts w:ascii="Poppins" w:hAnsi="Poppins" w:cs="Poppins"/>
          <w:color w:val="404040" w:themeColor="text1" w:themeTint="BF"/>
        </w:rPr>
        <w:t xml:space="preserve"> as markets settled</w:t>
      </w:r>
      <w:r w:rsidR="0CD4D66E" w:rsidRPr="53970307">
        <w:rPr>
          <w:rFonts w:ascii="Poppins" w:hAnsi="Poppins" w:cs="Poppins"/>
          <w:color w:val="404040" w:themeColor="text1" w:themeTint="BF"/>
        </w:rPr>
        <w:t xml:space="preserve">, </w:t>
      </w:r>
      <w:r w:rsidR="330133E3" w:rsidRPr="53970307">
        <w:rPr>
          <w:rFonts w:ascii="Poppins" w:hAnsi="Poppins" w:cs="Poppins"/>
          <w:color w:val="404040" w:themeColor="text1" w:themeTint="BF"/>
        </w:rPr>
        <w:t xml:space="preserve">and a reduction in outflows from </w:t>
      </w:r>
      <w:r w:rsidR="39773882" w:rsidRPr="53970307">
        <w:rPr>
          <w:rFonts w:ascii="Poppins" w:hAnsi="Poppins" w:cs="Poppins"/>
          <w:color w:val="404040" w:themeColor="text1" w:themeTint="BF"/>
        </w:rPr>
        <w:t xml:space="preserve">the preceding Budget. </w:t>
      </w:r>
    </w:p>
    <w:p w14:paraId="0B394103" w14:textId="77777777" w:rsidR="00405FC4" w:rsidRDefault="00405FC4" w:rsidP="53F7BE76">
      <w:pPr>
        <w:rPr>
          <w:rFonts w:ascii="Poppins" w:hAnsi="Poppins" w:cs="Poppins"/>
          <w:color w:val="404040" w:themeColor="text1" w:themeTint="BF"/>
        </w:rPr>
      </w:pPr>
    </w:p>
    <w:p w14:paraId="76ED84AB" w14:textId="73783F1F" w:rsidR="009518E6" w:rsidRDefault="003F7048" w:rsidP="53F7BE76">
      <w:pPr>
        <w:rPr>
          <w:rFonts w:ascii="Poppins" w:hAnsi="Poppins" w:cs="Poppins"/>
          <w:color w:val="404040" w:themeColor="text1" w:themeTint="BF"/>
        </w:rPr>
      </w:pPr>
      <w:r>
        <w:rPr>
          <w:rFonts w:ascii="Poppins" w:hAnsi="Poppins" w:cs="Poppins"/>
          <w:color w:val="404040" w:themeColor="text1" w:themeTint="BF"/>
        </w:rPr>
        <w:t xml:space="preserve">“Under the bonnet, the advised sector continues to have strong new business numbers, with this quarter the second-best on our books. </w:t>
      </w:r>
      <w:r w:rsidR="00784634">
        <w:rPr>
          <w:rFonts w:ascii="Poppins" w:hAnsi="Poppins" w:cs="Poppins"/>
          <w:color w:val="404040" w:themeColor="text1" w:themeTint="BF"/>
        </w:rPr>
        <w:t xml:space="preserve">This quarter </w:t>
      </w:r>
      <w:bookmarkStart w:id="0" w:name="_Int_3bxjh3n3"/>
      <w:r w:rsidR="00784634">
        <w:rPr>
          <w:rFonts w:ascii="Poppins" w:hAnsi="Poppins" w:cs="Poppins"/>
          <w:color w:val="404040" w:themeColor="text1" w:themeTint="BF"/>
        </w:rPr>
        <w:t>in particular we’re</w:t>
      </w:r>
      <w:bookmarkEnd w:id="0"/>
      <w:r w:rsidR="00784634">
        <w:rPr>
          <w:rFonts w:ascii="Poppins" w:hAnsi="Poppins" w:cs="Poppins"/>
          <w:color w:val="404040" w:themeColor="text1" w:themeTint="BF"/>
        </w:rPr>
        <w:t xml:space="preserve"> seeing </w:t>
      </w:r>
      <w:bookmarkStart w:id="1" w:name="_Int_970698tS"/>
      <w:r w:rsidR="00784634">
        <w:rPr>
          <w:rFonts w:ascii="Poppins" w:hAnsi="Poppins" w:cs="Poppins"/>
          <w:color w:val="404040" w:themeColor="text1" w:themeTint="BF"/>
        </w:rPr>
        <w:t>really good</w:t>
      </w:r>
      <w:bookmarkEnd w:id="1"/>
      <w:r w:rsidR="00784634">
        <w:rPr>
          <w:rFonts w:ascii="Poppins" w:hAnsi="Poppins" w:cs="Poppins"/>
          <w:color w:val="404040" w:themeColor="text1" w:themeTint="BF"/>
        </w:rPr>
        <w:t xml:space="preserve"> ISA </w:t>
      </w:r>
      <w:bookmarkStart w:id="2" w:name="_Int_vTu9K94Y"/>
      <w:r w:rsidR="00784634">
        <w:rPr>
          <w:rFonts w:ascii="Poppins" w:hAnsi="Poppins" w:cs="Poppins"/>
          <w:color w:val="404040" w:themeColor="text1" w:themeTint="BF"/>
        </w:rPr>
        <w:t>sales</w:t>
      </w:r>
      <w:bookmarkEnd w:id="2"/>
      <w:r w:rsidR="00784634">
        <w:rPr>
          <w:rFonts w:ascii="Poppins" w:hAnsi="Poppins" w:cs="Poppins"/>
          <w:color w:val="404040" w:themeColor="text1" w:themeTint="BF"/>
        </w:rPr>
        <w:t xml:space="preserve"> and it feels logical that </w:t>
      </w:r>
      <w:bookmarkStart w:id="3" w:name="_Int_UYkHHgpw"/>
      <w:r w:rsidR="00784634">
        <w:rPr>
          <w:rFonts w:ascii="Poppins" w:hAnsi="Poppins" w:cs="Poppins"/>
          <w:color w:val="404040" w:themeColor="text1" w:themeTint="BF"/>
        </w:rPr>
        <w:t>there’s</w:t>
      </w:r>
      <w:bookmarkEnd w:id="3"/>
      <w:r w:rsidR="00784634">
        <w:rPr>
          <w:rFonts w:ascii="Poppins" w:hAnsi="Poppins" w:cs="Poppins"/>
          <w:color w:val="404040" w:themeColor="text1" w:themeTint="BF"/>
        </w:rPr>
        <w:t xml:space="preserve"> some </w:t>
      </w:r>
      <w:r w:rsidR="00706B4C">
        <w:rPr>
          <w:rFonts w:ascii="Poppins" w:hAnsi="Poppins" w:cs="Poppins"/>
          <w:color w:val="404040" w:themeColor="text1" w:themeTint="BF"/>
        </w:rPr>
        <w:t xml:space="preserve">reinvestment from the spike in Budget </w:t>
      </w:r>
      <w:r w:rsidR="71B36D13" w:rsidRPr="188A65BF">
        <w:rPr>
          <w:rFonts w:ascii="Poppins" w:hAnsi="Poppins" w:cs="Poppins"/>
          <w:color w:val="404040" w:themeColor="text1" w:themeTint="BF"/>
        </w:rPr>
        <w:t xml:space="preserve">pension </w:t>
      </w:r>
      <w:r w:rsidR="00706B4C" w:rsidRPr="188A65BF">
        <w:rPr>
          <w:rFonts w:ascii="Poppins" w:hAnsi="Poppins" w:cs="Poppins"/>
          <w:color w:val="404040" w:themeColor="text1" w:themeTint="BF"/>
        </w:rPr>
        <w:t>withdrawals</w:t>
      </w:r>
      <w:r w:rsidR="00706B4C">
        <w:rPr>
          <w:rFonts w:ascii="Poppins" w:hAnsi="Poppins" w:cs="Poppins"/>
          <w:color w:val="404040" w:themeColor="text1" w:themeTint="BF"/>
        </w:rPr>
        <w:t xml:space="preserve"> washing through as new tax year subscriptions become available. </w:t>
      </w:r>
    </w:p>
    <w:p w14:paraId="695696F8" w14:textId="77777777" w:rsidR="009518E6" w:rsidRDefault="009518E6" w:rsidP="53F7BE76">
      <w:pPr>
        <w:rPr>
          <w:rFonts w:ascii="Poppins" w:hAnsi="Poppins" w:cs="Poppins"/>
          <w:color w:val="404040" w:themeColor="text1" w:themeTint="BF"/>
        </w:rPr>
      </w:pPr>
    </w:p>
    <w:p w14:paraId="1DDCEBF0" w14:textId="7394C03C" w:rsidR="007137AC" w:rsidRDefault="46703568" w:rsidP="53F7BE76">
      <w:pPr>
        <w:rPr>
          <w:rFonts w:ascii="Poppins" w:hAnsi="Poppins" w:cs="Poppins"/>
          <w:color w:val="404040" w:themeColor="text1" w:themeTint="BF"/>
        </w:rPr>
      </w:pPr>
      <w:r w:rsidRPr="53970307">
        <w:rPr>
          <w:rFonts w:ascii="Poppins" w:hAnsi="Poppins" w:cs="Poppins"/>
          <w:color w:val="404040" w:themeColor="text1" w:themeTint="BF"/>
        </w:rPr>
        <w:t>“</w:t>
      </w:r>
      <w:r w:rsidR="7DAA558F" w:rsidRPr="53970307">
        <w:rPr>
          <w:rFonts w:ascii="Poppins" w:hAnsi="Poppins" w:cs="Poppins"/>
          <w:color w:val="404040" w:themeColor="text1" w:themeTint="BF"/>
        </w:rPr>
        <w:t xml:space="preserve">From a net sales perspective, </w:t>
      </w:r>
      <w:bookmarkStart w:id="4" w:name="_Int_S5ar2Nm2"/>
      <w:r w:rsidR="7DAA558F" w:rsidRPr="53970307">
        <w:rPr>
          <w:rFonts w:ascii="Poppins" w:hAnsi="Poppins" w:cs="Poppins"/>
          <w:color w:val="404040" w:themeColor="text1" w:themeTint="BF"/>
        </w:rPr>
        <w:t>we’re</w:t>
      </w:r>
      <w:bookmarkEnd w:id="4"/>
      <w:r w:rsidR="7DAA558F" w:rsidRPr="53970307">
        <w:rPr>
          <w:rFonts w:ascii="Poppins" w:hAnsi="Poppins" w:cs="Poppins"/>
          <w:color w:val="404040" w:themeColor="text1" w:themeTint="BF"/>
        </w:rPr>
        <w:t xml:space="preserve"> </w:t>
      </w:r>
      <w:r w:rsidRPr="53970307">
        <w:rPr>
          <w:rFonts w:ascii="Poppins" w:hAnsi="Poppins" w:cs="Poppins"/>
          <w:color w:val="404040" w:themeColor="text1" w:themeTint="BF"/>
        </w:rPr>
        <w:t>continuing to see pensions command the lion’s share of flows</w:t>
      </w:r>
      <w:r w:rsidR="77DB031F" w:rsidRPr="53970307">
        <w:rPr>
          <w:rFonts w:ascii="Poppins" w:hAnsi="Poppins" w:cs="Poppins"/>
          <w:color w:val="404040" w:themeColor="text1" w:themeTint="BF"/>
        </w:rPr>
        <w:t>,</w:t>
      </w:r>
      <w:r w:rsidRPr="53970307">
        <w:rPr>
          <w:rFonts w:ascii="Poppins" w:hAnsi="Poppins" w:cs="Poppins"/>
          <w:color w:val="404040" w:themeColor="text1" w:themeTint="BF"/>
        </w:rPr>
        <w:t xml:space="preserve"> but </w:t>
      </w:r>
      <w:r w:rsidR="4B0EB8D3" w:rsidRPr="53970307">
        <w:rPr>
          <w:rFonts w:ascii="Poppins" w:hAnsi="Poppins" w:cs="Poppins"/>
          <w:color w:val="404040" w:themeColor="text1" w:themeTint="BF"/>
        </w:rPr>
        <w:t xml:space="preserve">the rest is </w:t>
      </w:r>
      <w:bookmarkStart w:id="5" w:name="_Int_FVIgRv5L"/>
      <w:r w:rsidR="4B0EB8D3" w:rsidRPr="53970307">
        <w:rPr>
          <w:rFonts w:ascii="Poppins" w:hAnsi="Poppins" w:cs="Poppins"/>
          <w:color w:val="404040" w:themeColor="text1" w:themeTint="BF"/>
        </w:rPr>
        <w:t>a pretty even</w:t>
      </w:r>
      <w:bookmarkEnd w:id="5"/>
      <w:r w:rsidR="4B0EB8D3" w:rsidRPr="53970307">
        <w:rPr>
          <w:rFonts w:ascii="Poppins" w:hAnsi="Poppins" w:cs="Poppins"/>
          <w:color w:val="404040" w:themeColor="text1" w:themeTint="BF"/>
        </w:rPr>
        <w:t xml:space="preserve"> split between </w:t>
      </w:r>
      <w:r w:rsidR="52DCFAAA" w:rsidRPr="53970307">
        <w:rPr>
          <w:rFonts w:ascii="Poppins" w:hAnsi="Poppins" w:cs="Poppins"/>
          <w:color w:val="404040" w:themeColor="text1" w:themeTint="BF"/>
        </w:rPr>
        <w:t>ISAs, GIAs and Bonds</w:t>
      </w:r>
      <w:r w:rsidR="15FDD802" w:rsidRPr="53970307">
        <w:rPr>
          <w:rFonts w:ascii="Poppins" w:hAnsi="Poppins" w:cs="Poppins"/>
          <w:color w:val="404040" w:themeColor="text1" w:themeTint="BF"/>
        </w:rPr>
        <w:t xml:space="preserve">. </w:t>
      </w:r>
      <w:bookmarkStart w:id="6" w:name="_Int_jOZUveRL"/>
      <w:r w:rsidR="15FDD802" w:rsidRPr="53970307">
        <w:rPr>
          <w:rFonts w:ascii="Poppins" w:hAnsi="Poppins" w:cs="Poppins"/>
          <w:color w:val="404040" w:themeColor="text1" w:themeTint="BF"/>
        </w:rPr>
        <w:t>That’s</w:t>
      </w:r>
      <w:bookmarkEnd w:id="6"/>
      <w:r w:rsidR="15FDD802" w:rsidRPr="53970307">
        <w:rPr>
          <w:rFonts w:ascii="Poppins" w:hAnsi="Poppins" w:cs="Poppins"/>
          <w:color w:val="404040" w:themeColor="text1" w:themeTint="BF"/>
        </w:rPr>
        <w:t xml:space="preserve"> a more recent trend </w:t>
      </w:r>
      <w:r w:rsidR="06D23237" w:rsidRPr="53970307">
        <w:rPr>
          <w:rFonts w:ascii="Poppins" w:hAnsi="Poppins" w:cs="Poppins"/>
          <w:color w:val="404040" w:themeColor="text1" w:themeTint="BF"/>
        </w:rPr>
        <w:t xml:space="preserve">and </w:t>
      </w:r>
      <w:r w:rsidR="15FDD802" w:rsidRPr="53970307">
        <w:rPr>
          <w:rFonts w:ascii="Poppins" w:hAnsi="Poppins" w:cs="Poppins"/>
          <w:color w:val="404040" w:themeColor="text1" w:themeTint="BF"/>
        </w:rPr>
        <w:t xml:space="preserve">a new shape of net sales for </w:t>
      </w:r>
      <w:r w:rsidR="06D23237" w:rsidRPr="53970307">
        <w:rPr>
          <w:rFonts w:ascii="Poppins" w:hAnsi="Poppins" w:cs="Poppins"/>
          <w:color w:val="404040" w:themeColor="text1" w:themeTint="BF"/>
        </w:rPr>
        <w:t xml:space="preserve">platforms that operate </w:t>
      </w:r>
      <w:bookmarkStart w:id="7" w:name="_Int_gdgLev9n"/>
      <w:r w:rsidR="06D23237" w:rsidRPr="53970307">
        <w:rPr>
          <w:rFonts w:ascii="Poppins" w:hAnsi="Poppins" w:cs="Poppins"/>
          <w:color w:val="404040" w:themeColor="text1" w:themeTint="BF"/>
        </w:rPr>
        <w:t>nearly entirely</w:t>
      </w:r>
      <w:bookmarkEnd w:id="7"/>
      <w:r w:rsidR="06D23237" w:rsidRPr="53970307">
        <w:rPr>
          <w:rFonts w:ascii="Poppins" w:hAnsi="Poppins" w:cs="Poppins"/>
          <w:color w:val="404040" w:themeColor="text1" w:themeTint="BF"/>
        </w:rPr>
        <w:t xml:space="preserve"> in the advised market</w:t>
      </w:r>
      <w:r w:rsidR="4DFFA0D6" w:rsidRPr="53970307">
        <w:rPr>
          <w:rFonts w:ascii="Poppins" w:hAnsi="Poppins" w:cs="Poppins"/>
          <w:color w:val="404040" w:themeColor="text1" w:themeTint="BF"/>
        </w:rPr>
        <w:t xml:space="preserve"> in terms of AUM</w:t>
      </w:r>
      <w:r w:rsidR="516C80EC" w:rsidRPr="53970307">
        <w:rPr>
          <w:rFonts w:ascii="Poppins" w:hAnsi="Poppins" w:cs="Poppins"/>
          <w:color w:val="404040" w:themeColor="text1" w:themeTint="BF"/>
        </w:rPr>
        <w:t>, as planning for IHT on unspent pensions</w:t>
      </w:r>
      <w:r w:rsidR="4B607D23" w:rsidRPr="53970307">
        <w:rPr>
          <w:rFonts w:ascii="Poppins" w:hAnsi="Poppins" w:cs="Poppins"/>
          <w:color w:val="404040" w:themeColor="text1" w:themeTint="BF"/>
        </w:rPr>
        <w:t xml:space="preserve"> sharpens on the horizon</w:t>
      </w:r>
      <w:r w:rsidR="679C031F" w:rsidRPr="53970307">
        <w:rPr>
          <w:rFonts w:ascii="Poppins" w:hAnsi="Poppins" w:cs="Poppins"/>
          <w:color w:val="404040" w:themeColor="text1" w:themeTint="BF"/>
        </w:rPr>
        <w:t>.</w:t>
      </w:r>
    </w:p>
    <w:p w14:paraId="172BA31D" w14:textId="77777777" w:rsidR="007137AC" w:rsidRDefault="007137AC" w:rsidP="53F7BE76">
      <w:pPr>
        <w:rPr>
          <w:rFonts w:ascii="Poppins" w:hAnsi="Poppins" w:cs="Poppins"/>
          <w:color w:val="404040" w:themeColor="text1" w:themeTint="BF"/>
        </w:rPr>
      </w:pPr>
    </w:p>
    <w:p w14:paraId="293CC96D" w14:textId="0966CA35" w:rsidR="00C53E72" w:rsidRDefault="00F57AEE" w:rsidP="53F7BE76">
      <w:pPr>
        <w:rPr>
          <w:rFonts w:ascii="Poppins" w:hAnsi="Poppins" w:cs="Poppins"/>
          <w:color w:val="404040" w:themeColor="text1" w:themeTint="BF"/>
        </w:rPr>
      </w:pPr>
      <w:r>
        <w:rPr>
          <w:rFonts w:ascii="Poppins" w:hAnsi="Poppins" w:cs="Poppins"/>
          <w:color w:val="404040" w:themeColor="text1" w:themeTint="BF"/>
        </w:rPr>
        <w:t>“This</w:t>
      </w:r>
      <w:r w:rsidR="00BF34BB">
        <w:rPr>
          <w:rFonts w:ascii="Poppins" w:hAnsi="Poppins" w:cs="Poppins"/>
          <w:color w:val="404040" w:themeColor="text1" w:themeTint="BF"/>
        </w:rPr>
        <w:t xml:space="preserve"> means some fundamental changes to retirement planning for more clients and we’re seeing that play out</w:t>
      </w:r>
      <w:r w:rsidR="002D1AEE">
        <w:rPr>
          <w:rFonts w:ascii="Poppins" w:hAnsi="Poppins" w:cs="Poppins"/>
          <w:color w:val="404040" w:themeColor="text1" w:themeTint="BF"/>
        </w:rPr>
        <w:t xml:space="preserve"> meaningfully</w:t>
      </w:r>
      <w:r w:rsidR="00BF34BB">
        <w:rPr>
          <w:rFonts w:ascii="Poppins" w:hAnsi="Poppins" w:cs="Poppins"/>
          <w:color w:val="404040" w:themeColor="text1" w:themeTint="BF"/>
        </w:rPr>
        <w:t xml:space="preserve"> in platform flows now.</w:t>
      </w:r>
      <w:r w:rsidR="00305662">
        <w:rPr>
          <w:rFonts w:ascii="Poppins" w:hAnsi="Poppins" w:cs="Poppins"/>
          <w:color w:val="404040" w:themeColor="text1" w:themeTint="BF"/>
        </w:rPr>
        <w:t>”</w:t>
      </w:r>
      <w:r w:rsidR="00BF34BB">
        <w:rPr>
          <w:rFonts w:ascii="Poppins" w:hAnsi="Poppins" w:cs="Poppins"/>
          <w:color w:val="404040" w:themeColor="text1" w:themeTint="BF"/>
        </w:rPr>
        <w:t xml:space="preserve"> </w:t>
      </w:r>
    </w:p>
    <w:p w14:paraId="7D4A006E" w14:textId="77777777" w:rsidR="00305662" w:rsidRDefault="00305662" w:rsidP="53F7BE76">
      <w:pPr>
        <w:rPr>
          <w:rFonts w:ascii="Poppins" w:hAnsi="Poppins" w:cs="Poppins"/>
          <w:color w:val="404040" w:themeColor="text1" w:themeTint="BF"/>
        </w:rPr>
      </w:pPr>
    </w:p>
    <w:p w14:paraId="471A9F78" w14:textId="35AFDFA5" w:rsidR="00305662" w:rsidRDefault="00305662" w:rsidP="4F8AC530">
      <w:pPr>
        <w:spacing w:line="360" w:lineRule="auto"/>
        <w:rPr>
          <w:rFonts w:ascii="Poppins" w:hAnsi="Poppins" w:cs="Poppins"/>
          <w:color w:val="404040" w:themeColor="text1" w:themeTint="BF"/>
        </w:rPr>
      </w:pPr>
      <w:r>
        <w:rPr>
          <w:rFonts w:ascii="Poppins" w:hAnsi="Poppins" w:cs="Poppins"/>
          <w:b/>
          <w:bCs/>
          <w:color w:val="404040" w:themeColor="text1" w:themeTint="BF"/>
        </w:rPr>
        <w:t xml:space="preserve">David Moffat, Executive Chair </w:t>
      </w:r>
      <w:r w:rsidR="00A81DFC">
        <w:rPr>
          <w:rFonts w:ascii="Poppins" w:hAnsi="Poppins" w:cs="Poppins"/>
          <w:b/>
          <w:bCs/>
          <w:color w:val="404040" w:themeColor="text1" w:themeTint="BF"/>
        </w:rPr>
        <w:t>of</w:t>
      </w:r>
      <w:r>
        <w:rPr>
          <w:rFonts w:ascii="Poppins" w:hAnsi="Poppins" w:cs="Poppins"/>
          <w:b/>
          <w:bCs/>
          <w:color w:val="404040" w:themeColor="text1" w:themeTint="BF"/>
        </w:rPr>
        <w:t xml:space="preserve"> </w:t>
      </w:r>
      <w:r w:rsidR="00A81DFC">
        <w:rPr>
          <w:rFonts w:ascii="Poppins" w:hAnsi="Poppins" w:cs="Poppins"/>
          <w:b/>
          <w:bCs/>
          <w:color w:val="404040" w:themeColor="text1" w:themeTint="BF"/>
        </w:rPr>
        <w:t>T</w:t>
      </w:r>
      <w:r>
        <w:rPr>
          <w:rFonts w:ascii="Poppins" w:hAnsi="Poppins" w:cs="Poppins"/>
          <w:b/>
          <w:bCs/>
          <w:color w:val="404040" w:themeColor="text1" w:themeTint="BF"/>
        </w:rPr>
        <w:t xml:space="preserve">he Platforms Association, said: </w:t>
      </w:r>
      <w:r w:rsidRPr="00305662">
        <w:rPr>
          <w:rFonts w:ascii="Poppins" w:hAnsi="Poppins" w:cs="Poppins"/>
          <w:color w:val="404040" w:themeColor="text1" w:themeTint="BF"/>
        </w:rPr>
        <w:t xml:space="preserve">“Investment Platforms continue to provide the route of choice for both advised and direct investors in the UK.  </w:t>
      </w:r>
    </w:p>
    <w:p w14:paraId="23168492" w14:textId="77777777" w:rsidR="00305662" w:rsidRDefault="00305662" w:rsidP="05C812EA">
      <w:pPr>
        <w:rPr>
          <w:rFonts w:ascii="Poppins" w:hAnsi="Poppins" w:cs="Poppins"/>
          <w:color w:val="404040" w:themeColor="text1" w:themeTint="BF"/>
        </w:rPr>
      </w:pPr>
    </w:p>
    <w:p w14:paraId="5FDEEA31" w14:textId="09A062A7" w:rsidR="00305662" w:rsidRPr="00305662" w:rsidRDefault="00305662" w:rsidP="4F8AC530">
      <w:pPr>
        <w:spacing w:line="360" w:lineRule="auto"/>
        <w:rPr>
          <w:rFonts w:ascii="Poppins" w:hAnsi="Poppins" w:cs="Poppins"/>
          <w:color w:val="404040" w:themeColor="text1" w:themeTint="BF"/>
        </w:rPr>
      </w:pPr>
      <w:r>
        <w:rPr>
          <w:rFonts w:ascii="Poppins" w:hAnsi="Poppins" w:cs="Poppins"/>
          <w:color w:val="404040" w:themeColor="text1" w:themeTint="BF"/>
        </w:rPr>
        <w:t>“</w:t>
      </w:r>
      <w:r w:rsidRPr="00305662">
        <w:rPr>
          <w:rFonts w:ascii="Poppins" w:hAnsi="Poppins" w:cs="Poppins"/>
          <w:color w:val="404040" w:themeColor="text1" w:themeTint="BF"/>
        </w:rPr>
        <w:t>Continuing the theme in Q1, the Q2 figures show advisers and clients defying both political and taxation uncertainty at home and geopolitical uncertainty in the Middle East to commit over £7bn of new investment monies across both pension and ISA wrappers. </w:t>
      </w:r>
      <w:r w:rsidR="2528402A" w:rsidRPr="2417CAF9">
        <w:rPr>
          <w:rFonts w:ascii="Poppins" w:hAnsi="Poppins" w:cs="Poppins"/>
          <w:color w:val="404040" w:themeColor="text1" w:themeTint="BF"/>
        </w:rPr>
        <w:t>“</w:t>
      </w:r>
    </w:p>
    <w:p w14:paraId="5484FD70" w14:textId="77777777" w:rsidR="00305662" w:rsidRDefault="00305662" w:rsidP="53F7BE76">
      <w:pPr>
        <w:rPr>
          <w:rFonts w:ascii="Poppins" w:hAnsi="Poppins" w:cs="Poppins"/>
          <w:color w:val="404040" w:themeColor="text1" w:themeTint="BF"/>
        </w:rPr>
      </w:pPr>
    </w:p>
    <w:p w14:paraId="4226887F" w14:textId="77777777" w:rsidR="00600839" w:rsidRPr="00B55BC4" w:rsidRDefault="00600839">
      <w:pPr>
        <w:rPr>
          <w:rFonts w:ascii="Poppins" w:hAnsi="Poppins" w:cs="Poppins"/>
          <w:sz w:val="20"/>
          <w:szCs w:val="20"/>
        </w:rPr>
      </w:pPr>
    </w:p>
    <w:p w14:paraId="3E71E5F2" w14:textId="77777777" w:rsidR="00600839" w:rsidRPr="00B55BC4" w:rsidRDefault="00600839">
      <w:pPr>
        <w:rPr>
          <w:rFonts w:ascii="Poppins" w:hAnsi="Poppins" w:cs="Poppins"/>
        </w:rPr>
      </w:pPr>
    </w:p>
    <w:p w14:paraId="69F88299" w14:textId="58EE18C0" w:rsidR="00420589" w:rsidRPr="00B55BC4" w:rsidRDefault="4AAB86E1">
      <w:pPr>
        <w:rPr>
          <w:rFonts w:ascii="Poppins" w:hAnsi="Poppins" w:cs="Poppins"/>
        </w:rPr>
      </w:pPr>
      <w:r w:rsidRPr="4B3AF484">
        <w:rPr>
          <w:rFonts w:ascii="Poppins" w:hAnsi="Poppins" w:cs="Poppins"/>
        </w:rPr>
        <w:t>*</w:t>
      </w:r>
      <w:r w:rsidR="5A0ED874" w:rsidRPr="4B3AF484">
        <w:rPr>
          <w:rFonts w:ascii="Poppins" w:hAnsi="Poppins" w:cs="Poppins"/>
        </w:rPr>
        <w:t>Contains</w:t>
      </w:r>
      <w:r w:rsidRPr="4B3AF484">
        <w:rPr>
          <w:rFonts w:ascii="Poppins" w:hAnsi="Poppins" w:cs="Poppins"/>
        </w:rPr>
        <w:t xml:space="preserve"> estimates</w:t>
      </w:r>
    </w:p>
    <w:p w14:paraId="2C49EB13" w14:textId="4FE98B38" w:rsidR="0092748B" w:rsidRPr="00B55BC4" w:rsidRDefault="00600839" w:rsidP="0092748B">
      <w:pPr>
        <w:spacing w:after="160" w:line="360" w:lineRule="auto"/>
        <w:ind w:left="4320"/>
        <w:rPr>
          <w:rFonts w:ascii="Poppins" w:hAnsi="Poppins" w:cs="Poppins"/>
          <w:b/>
          <w:bCs/>
          <w:color w:val="404040" w:themeColor="text1" w:themeTint="BF"/>
          <w:sz w:val="20"/>
          <w:szCs w:val="20"/>
        </w:rPr>
      </w:pPr>
      <w:r w:rsidRPr="00B55BC4">
        <w:rPr>
          <w:rFonts w:ascii="Poppins" w:hAnsi="Poppins" w:cs="Poppins"/>
          <w:b/>
          <w:bCs/>
          <w:color w:val="404040" w:themeColor="text1" w:themeTint="BF"/>
          <w:sz w:val="20"/>
          <w:szCs w:val="20"/>
        </w:rPr>
        <w:t>-ENDS-</w:t>
      </w:r>
    </w:p>
    <w:p w14:paraId="00D9F368" w14:textId="77777777" w:rsidR="00600839" w:rsidRPr="00B55BC4" w:rsidRDefault="00600839" w:rsidP="00600839">
      <w:pPr>
        <w:rPr>
          <w:rFonts w:ascii="Poppins" w:hAnsi="Poppins" w:cs="Poppins"/>
          <w:color w:val="404040" w:themeColor="text1" w:themeTint="BF"/>
          <w:sz w:val="20"/>
          <w:szCs w:val="20"/>
        </w:rPr>
      </w:pPr>
      <w:r w:rsidRPr="00B55BC4">
        <w:rPr>
          <w:rFonts w:ascii="Poppins" w:hAnsi="Poppins" w:cs="Poppins"/>
          <w:color w:val="404040" w:themeColor="text1" w:themeTint="BF"/>
          <w:sz w:val="20"/>
          <w:szCs w:val="20"/>
        </w:rPr>
        <w:t>For further information, contact:</w:t>
      </w:r>
    </w:p>
    <w:p w14:paraId="445B9A13" w14:textId="77777777" w:rsidR="00600839" w:rsidRPr="00B55BC4" w:rsidRDefault="00600839" w:rsidP="00600839">
      <w:pPr>
        <w:rPr>
          <w:rFonts w:ascii="Poppins" w:hAnsi="Poppins" w:cs="Poppins"/>
          <w:color w:val="404040" w:themeColor="text1" w:themeTint="BF"/>
          <w:sz w:val="20"/>
          <w:szCs w:val="20"/>
        </w:rPr>
      </w:pPr>
    </w:p>
    <w:p w14:paraId="093294B6" w14:textId="66AA2C2A" w:rsidR="00600839" w:rsidRPr="00B55BC4" w:rsidRDefault="130827F6" w:rsidP="00600839">
      <w:pPr>
        <w:rPr>
          <w:rFonts w:ascii="Poppins" w:hAnsi="Poppins" w:cs="Poppins"/>
          <w:color w:val="404040" w:themeColor="text1" w:themeTint="BF"/>
          <w:sz w:val="20"/>
          <w:szCs w:val="20"/>
        </w:rPr>
      </w:pPr>
      <w:r w:rsidRPr="00B55BC4">
        <w:rPr>
          <w:rFonts w:ascii="Poppins" w:hAnsi="Poppins" w:cs="Poppins"/>
          <w:color w:val="404040" w:themeColor="text1" w:themeTint="BF"/>
          <w:sz w:val="20"/>
          <w:szCs w:val="20"/>
        </w:rPr>
        <w:t>Nicola Cannings</w:t>
      </w:r>
      <w:r w:rsidR="00600839" w:rsidRPr="00B55BC4">
        <w:rPr>
          <w:rFonts w:ascii="Poppins" w:hAnsi="Poppins" w:cs="Poppins"/>
          <w:color w:val="404040" w:themeColor="text1" w:themeTint="BF"/>
          <w:sz w:val="20"/>
          <w:szCs w:val="20"/>
        </w:rPr>
        <w:t>, PR Director, the lang cat</w:t>
      </w:r>
    </w:p>
    <w:p w14:paraId="747FC5D5" w14:textId="3103DF19" w:rsidR="00600839" w:rsidRPr="00B55BC4" w:rsidRDefault="00600839" w:rsidP="00600839">
      <w:pPr>
        <w:rPr>
          <w:rFonts w:ascii="Poppins" w:hAnsi="Poppins" w:cs="Poppins"/>
          <w:color w:val="404040" w:themeColor="text1" w:themeTint="BF"/>
          <w:sz w:val="20"/>
          <w:szCs w:val="20"/>
        </w:rPr>
      </w:pPr>
      <w:r w:rsidRPr="00B55BC4">
        <w:rPr>
          <w:rFonts w:ascii="Poppins" w:hAnsi="Poppins" w:cs="Poppins"/>
          <w:color w:val="404040" w:themeColor="text1" w:themeTint="BF"/>
          <w:sz w:val="20"/>
          <w:szCs w:val="20"/>
        </w:rPr>
        <w:t xml:space="preserve">T: </w:t>
      </w:r>
      <w:r w:rsidR="352A5601" w:rsidRPr="00B55BC4">
        <w:rPr>
          <w:rFonts w:ascii="Poppins" w:hAnsi="Poppins" w:cs="Poppins"/>
          <w:color w:val="404040" w:themeColor="text1" w:themeTint="BF"/>
          <w:sz w:val="20"/>
          <w:szCs w:val="20"/>
        </w:rPr>
        <w:t>07713 669899</w:t>
      </w:r>
    </w:p>
    <w:p w14:paraId="64D573AA" w14:textId="45465911" w:rsidR="00600839" w:rsidRPr="00B55BC4" w:rsidRDefault="00600839" w:rsidP="00600839">
      <w:pPr>
        <w:rPr>
          <w:rFonts w:ascii="Poppins" w:hAnsi="Poppins" w:cs="Poppins"/>
          <w:color w:val="404040" w:themeColor="text1" w:themeTint="BF"/>
          <w:sz w:val="20"/>
          <w:szCs w:val="20"/>
        </w:rPr>
      </w:pPr>
      <w:r w:rsidRPr="00B55BC4">
        <w:rPr>
          <w:rFonts w:ascii="Poppins" w:hAnsi="Poppins" w:cs="Poppins"/>
          <w:color w:val="404040" w:themeColor="text1" w:themeTint="BF"/>
          <w:sz w:val="20"/>
          <w:szCs w:val="20"/>
        </w:rPr>
        <w:t xml:space="preserve">email: </w:t>
      </w:r>
      <w:r w:rsidR="4C860421" w:rsidRPr="00B55BC4">
        <w:rPr>
          <w:rFonts w:ascii="Poppins" w:hAnsi="Poppins" w:cs="Poppins"/>
          <w:color w:val="404040" w:themeColor="text1" w:themeTint="BF"/>
          <w:sz w:val="20"/>
          <w:szCs w:val="20"/>
        </w:rPr>
        <w:t>nicola@thelangcat.co.uk</w:t>
      </w:r>
    </w:p>
    <w:p w14:paraId="6BC32130" w14:textId="77777777" w:rsidR="00600839" w:rsidRPr="00B55BC4" w:rsidRDefault="00600839" w:rsidP="00600839">
      <w:pPr>
        <w:rPr>
          <w:rFonts w:ascii="Poppins" w:hAnsi="Poppins" w:cs="Poppins"/>
          <w:color w:val="404040" w:themeColor="text1" w:themeTint="BF"/>
          <w:sz w:val="20"/>
          <w:szCs w:val="20"/>
        </w:rPr>
      </w:pPr>
    </w:p>
    <w:p w14:paraId="1374D7AB" w14:textId="2C5F5315" w:rsidR="0092748B" w:rsidRPr="00B55BC4" w:rsidRDefault="00600839" w:rsidP="0092748B">
      <w:pPr>
        <w:rPr>
          <w:rFonts w:ascii="Poppins" w:hAnsi="Poppins" w:cs="Poppins"/>
          <w:b/>
          <w:bCs/>
          <w:color w:val="404040" w:themeColor="text1" w:themeTint="BF"/>
          <w:sz w:val="20"/>
          <w:szCs w:val="20"/>
        </w:rPr>
      </w:pPr>
      <w:r w:rsidRPr="00B55BC4">
        <w:rPr>
          <w:rFonts w:ascii="Poppins" w:hAnsi="Poppins" w:cs="Poppins"/>
          <w:b/>
          <w:bCs/>
          <w:color w:val="404040" w:themeColor="text1" w:themeTint="BF"/>
          <w:sz w:val="20"/>
          <w:szCs w:val="20"/>
        </w:rPr>
        <w:t>Notes to editors:</w:t>
      </w:r>
    </w:p>
    <w:p w14:paraId="73D09C4C" w14:textId="77777777" w:rsidR="00DC4FA1" w:rsidRPr="00B55BC4" w:rsidRDefault="00DC4FA1" w:rsidP="0092748B">
      <w:pPr>
        <w:rPr>
          <w:rFonts w:ascii="Poppins" w:hAnsi="Poppins" w:cs="Poppins"/>
          <w:b/>
          <w:bCs/>
          <w:color w:val="404040" w:themeColor="text1" w:themeTint="BF"/>
          <w:sz w:val="20"/>
          <w:szCs w:val="20"/>
        </w:rPr>
      </w:pPr>
    </w:p>
    <w:p w14:paraId="3F877B5E" w14:textId="3906BE7D" w:rsidR="005D1A1E" w:rsidRPr="005D1A1E" w:rsidRDefault="00DC4FA1" w:rsidP="002B61AB">
      <w:pPr>
        <w:pStyle w:val="ListParagraph"/>
        <w:numPr>
          <w:ilvl w:val="0"/>
          <w:numId w:val="2"/>
        </w:numPr>
        <w:rPr>
          <w:rFonts w:ascii="Poppins" w:hAnsi="Poppins" w:cs="Poppins"/>
          <w:color w:val="404040" w:themeColor="text1" w:themeTint="BF"/>
          <w:sz w:val="20"/>
          <w:szCs w:val="20"/>
        </w:rPr>
      </w:pPr>
      <w:r w:rsidRPr="005D1A1E">
        <w:rPr>
          <w:rFonts w:ascii="Poppins" w:hAnsi="Poppins" w:cs="Poppins"/>
          <w:color w:val="404040" w:themeColor="text1" w:themeTint="BF"/>
          <w:sz w:val="20"/>
          <w:szCs w:val="20"/>
        </w:rPr>
        <w:t xml:space="preserve">Please note that </w:t>
      </w:r>
      <w:r w:rsidR="00DB113D" w:rsidRPr="005D1A1E">
        <w:rPr>
          <w:rFonts w:ascii="Poppins" w:hAnsi="Poppins" w:cs="Poppins"/>
          <w:color w:val="404040" w:themeColor="text1" w:themeTint="BF"/>
          <w:sz w:val="20"/>
          <w:szCs w:val="20"/>
        </w:rPr>
        <w:t xml:space="preserve">True Potential </w:t>
      </w:r>
      <w:r w:rsidRPr="005D1A1E">
        <w:rPr>
          <w:rFonts w:ascii="Poppins" w:hAnsi="Poppins" w:cs="Poppins"/>
          <w:color w:val="404040" w:themeColor="text1" w:themeTint="BF"/>
          <w:sz w:val="20"/>
          <w:szCs w:val="20"/>
        </w:rPr>
        <w:t xml:space="preserve">is </w:t>
      </w:r>
      <w:r w:rsidR="006C74DB" w:rsidRPr="005D1A1E">
        <w:rPr>
          <w:rFonts w:ascii="Poppins" w:hAnsi="Poppins" w:cs="Poppins"/>
          <w:color w:val="404040" w:themeColor="text1" w:themeTint="BF"/>
          <w:sz w:val="20"/>
          <w:szCs w:val="20"/>
        </w:rPr>
        <w:t xml:space="preserve">reported a quarter in arrears. </w:t>
      </w:r>
      <w:r w:rsidR="00DA6B17" w:rsidRPr="005D1A1E">
        <w:rPr>
          <w:rFonts w:ascii="Poppins" w:hAnsi="Poppins" w:cs="Poppins"/>
          <w:color w:val="404040" w:themeColor="text1" w:themeTint="BF"/>
          <w:sz w:val="20"/>
          <w:szCs w:val="20"/>
        </w:rPr>
        <w:t xml:space="preserve">Raymond James’s numbers this quarter are partial estimates as they complete new ownership and acquisition deals. </w:t>
      </w:r>
      <w:r w:rsidR="005D1A1E" w:rsidRPr="005D1A1E">
        <w:rPr>
          <w:rFonts w:ascii="Poppins" w:hAnsi="Poppins" w:cs="Poppins"/>
          <w:color w:val="404040" w:themeColor="text1" w:themeTint="BF"/>
          <w:sz w:val="20"/>
          <w:szCs w:val="20"/>
        </w:rPr>
        <w:t>M&amp;G Wealth numbers are excluded</w:t>
      </w:r>
    </w:p>
    <w:p w14:paraId="7B7D5D65" w14:textId="77777777" w:rsidR="0092748B" w:rsidRPr="00B55BC4" w:rsidRDefault="0092748B" w:rsidP="00600839">
      <w:pPr>
        <w:rPr>
          <w:rFonts w:ascii="Poppins" w:hAnsi="Poppins" w:cs="Poppins"/>
          <w:b/>
          <w:bCs/>
          <w:color w:val="404040" w:themeColor="text1" w:themeTint="BF"/>
          <w:sz w:val="20"/>
          <w:szCs w:val="20"/>
        </w:rPr>
      </w:pPr>
    </w:p>
    <w:p w14:paraId="3A02CA88" w14:textId="167B102A" w:rsidR="00600839" w:rsidRPr="00B55BC4" w:rsidRDefault="49FE6E69" w:rsidP="00600839">
      <w:pPr>
        <w:rPr>
          <w:rFonts w:ascii="Poppins" w:hAnsi="Poppins" w:cs="Poppins"/>
        </w:rPr>
      </w:pPr>
      <w:r w:rsidRPr="4B3AF484">
        <w:rPr>
          <w:rFonts w:ascii="Poppins" w:hAnsi="Poppins" w:cs="Poppins"/>
          <w:color w:val="404040" w:themeColor="text1" w:themeTint="BF"/>
          <w:sz w:val="20"/>
          <w:szCs w:val="20"/>
        </w:rPr>
        <w:t>the lang cat is Leith’s leading specialist financial services consultancy</w:t>
      </w:r>
      <w:r w:rsidR="047926FD" w:rsidRPr="4B3AF484">
        <w:rPr>
          <w:rFonts w:ascii="Poppins" w:hAnsi="Poppins" w:cs="Poppins"/>
          <w:color w:val="404040" w:themeColor="text1" w:themeTint="BF"/>
          <w:sz w:val="20"/>
          <w:szCs w:val="20"/>
        </w:rPr>
        <w:t xml:space="preserve"> and PR company</w:t>
      </w:r>
      <w:r w:rsidRPr="4B3AF484">
        <w:rPr>
          <w:rFonts w:ascii="Poppins" w:hAnsi="Poppins" w:cs="Poppins"/>
          <w:color w:val="404040" w:themeColor="text1" w:themeTint="BF"/>
          <w:sz w:val="20"/>
          <w:szCs w:val="20"/>
        </w:rPr>
        <w:t xml:space="preserve">. </w:t>
      </w:r>
      <w:r w:rsidRPr="4B3AF484">
        <w:rPr>
          <w:rFonts w:ascii="Poppins" w:hAnsi="Poppins" w:cs="Poppins"/>
          <w:sz w:val="20"/>
          <w:szCs w:val="20"/>
        </w:rPr>
        <w:t xml:space="preserve">Analyser is regtech software for advice professionals that incorporates an interactive </w:t>
      </w:r>
      <w:r w:rsidR="06D37445" w:rsidRPr="4B3AF484">
        <w:rPr>
          <w:rFonts w:ascii="Poppins" w:hAnsi="Poppins" w:cs="Poppins"/>
          <w:sz w:val="20"/>
          <w:szCs w:val="20"/>
        </w:rPr>
        <w:t>tool,</w:t>
      </w:r>
      <w:r w:rsidRPr="4B3AF484">
        <w:rPr>
          <w:rFonts w:ascii="Poppins" w:hAnsi="Poppins" w:cs="Poppins"/>
          <w:sz w:val="20"/>
          <w:szCs w:val="20"/>
        </w:rPr>
        <w:t xml:space="preserve"> and regular lang cat insight and publications packed full of industry news and developments, including </w:t>
      </w:r>
      <w:r w:rsidRPr="4B3AF484">
        <w:rPr>
          <w:rFonts w:ascii="Poppins" w:eastAsia="Times New Roman" w:hAnsi="Poppins" w:cs="Poppins"/>
          <w:sz w:val="20"/>
          <w:szCs w:val="20"/>
        </w:rPr>
        <w:t>quarterly adviser servicing ratings.</w:t>
      </w:r>
      <w:r w:rsidRPr="4B3AF484">
        <w:rPr>
          <w:rFonts w:ascii="Poppins" w:hAnsi="Poppins" w:cs="Poppins"/>
          <w:sz w:val="20"/>
          <w:szCs w:val="20"/>
        </w:rPr>
        <w:t xml:space="preserve"> Advice professionals can find further information and sign up to a free seven-day trial of Analyser at </w:t>
      </w:r>
      <w:hyperlink r:id="rId12">
        <w:r w:rsidRPr="4B3AF484">
          <w:rPr>
            <w:rStyle w:val="Hyperlink"/>
            <w:rFonts w:ascii="Poppins" w:hAnsi="Poppins" w:cs="Poppins"/>
            <w:sz w:val="20"/>
            <w:szCs w:val="20"/>
          </w:rPr>
          <w:t>https://www.langcatfinancial.co.uk/platformanalyser/</w:t>
        </w:r>
      </w:hyperlink>
    </w:p>
    <w:p w14:paraId="69FFF3E6" w14:textId="77777777" w:rsidR="00600839" w:rsidRPr="00B55BC4" w:rsidRDefault="00600839">
      <w:pPr>
        <w:rPr>
          <w:rFonts w:ascii="Poppins" w:hAnsi="Poppins" w:cs="Poppins"/>
        </w:rPr>
      </w:pPr>
    </w:p>
    <w:sectPr w:rsidR="00600839" w:rsidRPr="00B55BC4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9839D" w14:textId="77777777" w:rsidR="008A3558" w:rsidRDefault="008A3558">
      <w:r>
        <w:separator/>
      </w:r>
    </w:p>
  </w:endnote>
  <w:endnote w:type="continuationSeparator" w:id="0">
    <w:p w14:paraId="770980C4" w14:textId="77777777" w:rsidR="008A3558" w:rsidRDefault="008A3558">
      <w:r>
        <w:continuationSeparator/>
      </w:r>
    </w:p>
  </w:endnote>
  <w:endnote w:type="continuationNotice" w:id="1">
    <w:p w14:paraId="39B0B739" w14:textId="77777777" w:rsidR="008A3558" w:rsidRDefault="008A35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1E99E29" w14:paraId="04E48E82" w14:textId="77777777" w:rsidTr="71E99E29">
      <w:trPr>
        <w:trHeight w:val="300"/>
      </w:trPr>
      <w:tc>
        <w:tcPr>
          <w:tcW w:w="3005" w:type="dxa"/>
        </w:tcPr>
        <w:p w14:paraId="12D3910D" w14:textId="14EA6806" w:rsidR="71E99E29" w:rsidRDefault="71E99E29" w:rsidP="71E99E29">
          <w:pPr>
            <w:pStyle w:val="Header"/>
            <w:ind w:left="-115"/>
          </w:pPr>
        </w:p>
      </w:tc>
      <w:tc>
        <w:tcPr>
          <w:tcW w:w="3005" w:type="dxa"/>
        </w:tcPr>
        <w:p w14:paraId="5424B549" w14:textId="7E875B9D" w:rsidR="71E99E29" w:rsidRDefault="71E99E29" w:rsidP="71E99E29">
          <w:pPr>
            <w:pStyle w:val="Header"/>
            <w:jc w:val="center"/>
          </w:pPr>
        </w:p>
      </w:tc>
      <w:tc>
        <w:tcPr>
          <w:tcW w:w="3005" w:type="dxa"/>
        </w:tcPr>
        <w:p w14:paraId="4FEDBF8C" w14:textId="60DD52B0" w:rsidR="71E99E29" w:rsidRDefault="71E99E29" w:rsidP="71E99E29">
          <w:pPr>
            <w:pStyle w:val="Header"/>
            <w:ind w:right="-115"/>
            <w:jc w:val="right"/>
          </w:pPr>
        </w:p>
      </w:tc>
    </w:tr>
  </w:tbl>
  <w:p w14:paraId="192D7CEF" w14:textId="1EEEAB13" w:rsidR="71E99E29" w:rsidRDefault="71E99E29" w:rsidP="71E99E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36386" w14:textId="77777777" w:rsidR="008A3558" w:rsidRDefault="008A3558">
      <w:r>
        <w:separator/>
      </w:r>
    </w:p>
  </w:footnote>
  <w:footnote w:type="continuationSeparator" w:id="0">
    <w:p w14:paraId="40597173" w14:textId="77777777" w:rsidR="008A3558" w:rsidRDefault="008A3558">
      <w:r>
        <w:continuationSeparator/>
      </w:r>
    </w:p>
  </w:footnote>
  <w:footnote w:type="continuationNotice" w:id="1">
    <w:p w14:paraId="498EFC4E" w14:textId="77777777" w:rsidR="008A3558" w:rsidRDefault="008A35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1E99E29" w14:paraId="218134F1" w14:textId="77777777" w:rsidTr="71E99E29">
      <w:trPr>
        <w:trHeight w:val="300"/>
      </w:trPr>
      <w:tc>
        <w:tcPr>
          <w:tcW w:w="3005" w:type="dxa"/>
        </w:tcPr>
        <w:p w14:paraId="335AD601" w14:textId="18C9E614" w:rsidR="71E99E29" w:rsidRDefault="71E99E29" w:rsidP="71E99E29">
          <w:pPr>
            <w:pStyle w:val="Header"/>
            <w:ind w:left="-115"/>
          </w:pPr>
        </w:p>
      </w:tc>
      <w:tc>
        <w:tcPr>
          <w:tcW w:w="3005" w:type="dxa"/>
        </w:tcPr>
        <w:p w14:paraId="35229752" w14:textId="524AB0C5" w:rsidR="71E99E29" w:rsidRDefault="71E99E29" w:rsidP="71E99E29">
          <w:pPr>
            <w:pStyle w:val="Header"/>
            <w:jc w:val="center"/>
          </w:pPr>
        </w:p>
      </w:tc>
      <w:tc>
        <w:tcPr>
          <w:tcW w:w="3005" w:type="dxa"/>
        </w:tcPr>
        <w:p w14:paraId="2E116F56" w14:textId="7CE30208" w:rsidR="71E99E29" w:rsidRDefault="71E99E29" w:rsidP="71E99E29">
          <w:pPr>
            <w:pStyle w:val="Header"/>
            <w:ind w:right="-115"/>
            <w:jc w:val="right"/>
          </w:pPr>
        </w:p>
      </w:tc>
    </w:tr>
  </w:tbl>
  <w:p w14:paraId="18D1153B" w14:textId="547C536B" w:rsidR="71E99E29" w:rsidRDefault="71E99E29" w:rsidP="71E99E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6C26"/>
    <w:multiLevelType w:val="hybridMultilevel"/>
    <w:tmpl w:val="34E8010E"/>
    <w:lvl w:ilvl="0" w:tplc="A452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B1BB6"/>
    <w:multiLevelType w:val="hybridMultilevel"/>
    <w:tmpl w:val="B70273E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A40C29"/>
    <w:multiLevelType w:val="hybridMultilevel"/>
    <w:tmpl w:val="C764BDC4"/>
    <w:lvl w:ilvl="0" w:tplc="1042F7D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954984">
    <w:abstractNumId w:val="1"/>
  </w:num>
  <w:num w:numId="2" w16cid:durableId="1669091886">
    <w:abstractNumId w:val="2"/>
  </w:num>
  <w:num w:numId="3" w16cid:durableId="793594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39"/>
    <w:rsid w:val="000018EB"/>
    <w:rsid w:val="0000239C"/>
    <w:rsid w:val="00002513"/>
    <w:rsid w:val="00002C3A"/>
    <w:rsid w:val="00002EAE"/>
    <w:rsid w:val="000036A9"/>
    <w:rsid w:val="00003879"/>
    <w:rsid w:val="000055E8"/>
    <w:rsid w:val="000059D6"/>
    <w:rsid w:val="000069E6"/>
    <w:rsid w:val="00011F57"/>
    <w:rsid w:val="0001258A"/>
    <w:rsid w:val="00013F1F"/>
    <w:rsid w:val="0001426A"/>
    <w:rsid w:val="00015820"/>
    <w:rsid w:val="00015CD4"/>
    <w:rsid w:val="000175CE"/>
    <w:rsid w:val="000177C3"/>
    <w:rsid w:val="000202C9"/>
    <w:rsid w:val="00023282"/>
    <w:rsid w:val="000247A7"/>
    <w:rsid w:val="0002781D"/>
    <w:rsid w:val="00030D6B"/>
    <w:rsid w:val="00033214"/>
    <w:rsid w:val="000372DB"/>
    <w:rsid w:val="00037DC7"/>
    <w:rsid w:val="0004149F"/>
    <w:rsid w:val="00042877"/>
    <w:rsid w:val="00042BB1"/>
    <w:rsid w:val="00043272"/>
    <w:rsid w:val="00043E47"/>
    <w:rsid w:val="00046272"/>
    <w:rsid w:val="00046716"/>
    <w:rsid w:val="00046DFD"/>
    <w:rsid w:val="000502F9"/>
    <w:rsid w:val="000503A2"/>
    <w:rsid w:val="00051EDF"/>
    <w:rsid w:val="00056FE2"/>
    <w:rsid w:val="00057B6A"/>
    <w:rsid w:val="00061C1F"/>
    <w:rsid w:val="000635DD"/>
    <w:rsid w:val="00064CC9"/>
    <w:rsid w:val="00065110"/>
    <w:rsid w:val="00065A46"/>
    <w:rsid w:val="0006626A"/>
    <w:rsid w:val="0006724C"/>
    <w:rsid w:val="0007700B"/>
    <w:rsid w:val="00077A9B"/>
    <w:rsid w:val="000804F9"/>
    <w:rsid w:val="0008143B"/>
    <w:rsid w:val="0008318E"/>
    <w:rsid w:val="00084332"/>
    <w:rsid w:val="00085CC1"/>
    <w:rsid w:val="00087121"/>
    <w:rsid w:val="00091168"/>
    <w:rsid w:val="00091B0E"/>
    <w:rsid w:val="00092DC7"/>
    <w:rsid w:val="00092DFF"/>
    <w:rsid w:val="00094551"/>
    <w:rsid w:val="000A044E"/>
    <w:rsid w:val="000A06CE"/>
    <w:rsid w:val="000A3B5B"/>
    <w:rsid w:val="000A3D2D"/>
    <w:rsid w:val="000A418F"/>
    <w:rsid w:val="000A6A83"/>
    <w:rsid w:val="000A7C4E"/>
    <w:rsid w:val="000B18CF"/>
    <w:rsid w:val="000B5BC9"/>
    <w:rsid w:val="000B680B"/>
    <w:rsid w:val="000C1477"/>
    <w:rsid w:val="000C28FF"/>
    <w:rsid w:val="000C41E8"/>
    <w:rsid w:val="000C5C72"/>
    <w:rsid w:val="000C7DE0"/>
    <w:rsid w:val="000D0ABB"/>
    <w:rsid w:val="000D23BF"/>
    <w:rsid w:val="000D6A06"/>
    <w:rsid w:val="000D7AF7"/>
    <w:rsid w:val="000D7B8D"/>
    <w:rsid w:val="000E26E9"/>
    <w:rsid w:val="000E2734"/>
    <w:rsid w:val="000E37CE"/>
    <w:rsid w:val="000E626A"/>
    <w:rsid w:val="000E643A"/>
    <w:rsid w:val="000F1CEC"/>
    <w:rsid w:val="000F2A6E"/>
    <w:rsid w:val="000F2BDA"/>
    <w:rsid w:val="000F413F"/>
    <w:rsid w:val="000F5659"/>
    <w:rsid w:val="001002B0"/>
    <w:rsid w:val="00100F68"/>
    <w:rsid w:val="00101F87"/>
    <w:rsid w:val="0010291E"/>
    <w:rsid w:val="001034C9"/>
    <w:rsid w:val="0010429D"/>
    <w:rsid w:val="001048E7"/>
    <w:rsid w:val="0011228D"/>
    <w:rsid w:val="00112714"/>
    <w:rsid w:val="001127C6"/>
    <w:rsid w:val="001132D1"/>
    <w:rsid w:val="00115427"/>
    <w:rsid w:val="0011576D"/>
    <w:rsid w:val="00115845"/>
    <w:rsid w:val="001215D8"/>
    <w:rsid w:val="00121F9A"/>
    <w:rsid w:val="00126C73"/>
    <w:rsid w:val="001327B5"/>
    <w:rsid w:val="00133296"/>
    <w:rsid w:val="00136E57"/>
    <w:rsid w:val="00137B95"/>
    <w:rsid w:val="00141709"/>
    <w:rsid w:val="00141A67"/>
    <w:rsid w:val="0014354F"/>
    <w:rsid w:val="00145FF6"/>
    <w:rsid w:val="00147F6C"/>
    <w:rsid w:val="00150CD8"/>
    <w:rsid w:val="00152133"/>
    <w:rsid w:val="00155574"/>
    <w:rsid w:val="0015670F"/>
    <w:rsid w:val="00156DAB"/>
    <w:rsid w:val="00163AA0"/>
    <w:rsid w:val="00164BFD"/>
    <w:rsid w:val="00167062"/>
    <w:rsid w:val="001677DF"/>
    <w:rsid w:val="0017244D"/>
    <w:rsid w:val="001733B6"/>
    <w:rsid w:val="0017360F"/>
    <w:rsid w:val="00180219"/>
    <w:rsid w:val="001813D4"/>
    <w:rsid w:val="0018422C"/>
    <w:rsid w:val="00185163"/>
    <w:rsid w:val="00186653"/>
    <w:rsid w:val="00186C95"/>
    <w:rsid w:val="00187699"/>
    <w:rsid w:val="0019084F"/>
    <w:rsid w:val="00192748"/>
    <w:rsid w:val="00192A43"/>
    <w:rsid w:val="00193F7C"/>
    <w:rsid w:val="001956A7"/>
    <w:rsid w:val="00195749"/>
    <w:rsid w:val="00195D6F"/>
    <w:rsid w:val="00196294"/>
    <w:rsid w:val="001A0244"/>
    <w:rsid w:val="001A02D4"/>
    <w:rsid w:val="001A037B"/>
    <w:rsid w:val="001A1740"/>
    <w:rsid w:val="001A1C84"/>
    <w:rsid w:val="001A20DD"/>
    <w:rsid w:val="001A26A9"/>
    <w:rsid w:val="001A2E29"/>
    <w:rsid w:val="001A4231"/>
    <w:rsid w:val="001A4A83"/>
    <w:rsid w:val="001A707D"/>
    <w:rsid w:val="001B2793"/>
    <w:rsid w:val="001B4D4B"/>
    <w:rsid w:val="001B5848"/>
    <w:rsid w:val="001B5EBC"/>
    <w:rsid w:val="001B680B"/>
    <w:rsid w:val="001C75CC"/>
    <w:rsid w:val="001D0007"/>
    <w:rsid w:val="001D2EAD"/>
    <w:rsid w:val="001D3739"/>
    <w:rsid w:val="001D76B9"/>
    <w:rsid w:val="001E1442"/>
    <w:rsid w:val="001E2729"/>
    <w:rsid w:val="001E2960"/>
    <w:rsid w:val="001E4B3B"/>
    <w:rsid w:val="001E6738"/>
    <w:rsid w:val="001F2078"/>
    <w:rsid w:val="001F2CD8"/>
    <w:rsid w:val="001F3100"/>
    <w:rsid w:val="001F45FE"/>
    <w:rsid w:val="001F53DB"/>
    <w:rsid w:val="001F5EA3"/>
    <w:rsid w:val="001F7299"/>
    <w:rsid w:val="002000B2"/>
    <w:rsid w:val="002005E4"/>
    <w:rsid w:val="002016E2"/>
    <w:rsid w:val="00203AC4"/>
    <w:rsid w:val="002047AC"/>
    <w:rsid w:val="002051C4"/>
    <w:rsid w:val="0020761C"/>
    <w:rsid w:val="00210B0D"/>
    <w:rsid w:val="00211792"/>
    <w:rsid w:val="00212175"/>
    <w:rsid w:val="002128EE"/>
    <w:rsid w:val="00212FE6"/>
    <w:rsid w:val="00213088"/>
    <w:rsid w:val="0021792B"/>
    <w:rsid w:val="00217DF9"/>
    <w:rsid w:val="00220275"/>
    <w:rsid w:val="00221A66"/>
    <w:rsid w:val="00240C18"/>
    <w:rsid w:val="002412BD"/>
    <w:rsid w:val="00242886"/>
    <w:rsid w:val="00243959"/>
    <w:rsid w:val="00244C9C"/>
    <w:rsid w:val="00245FF4"/>
    <w:rsid w:val="002460B5"/>
    <w:rsid w:val="002477C8"/>
    <w:rsid w:val="00250D6E"/>
    <w:rsid w:val="00251279"/>
    <w:rsid w:val="002516D0"/>
    <w:rsid w:val="00251717"/>
    <w:rsid w:val="0025210C"/>
    <w:rsid w:val="00252825"/>
    <w:rsid w:val="00253643"/>
    <w:rsid w:val="00254021"/>
    <w:rsid w:val="0025462E"/>
    <w:rsid w:val="00254CF2"/>
    <w:rsid w:val="002613DD"/>
    <w:rsid w:val="00263363"/>
    <w:rsid w:val="00263D5F"/>
    <w:rsid w:val="00264C9B"/>
    <w:rsid w:val="00271842"/>
    <w:rsid w:val="00271AB5"/>
    <w:rsid w:val="00274DA0"/>
    <w:rsid w:val="00276A90"/>
    <w:rsid w:val="002774D4"/>
    <w:rsid w:val="00277A1B"/>
    <w:rsid w:val="002806B1"/>
    <w:rsid w:val="00280A05"/>
    <w:rsid w:val="002816D3"/>
    <w:rsid w:val="002835B5"/>
    <w:rsid w:val="00287CF7"/>
    <w:rsid w:val="00293404"/>
    <w:rsid w:val="00293F30"/>
    <w:rsid w:val="00295D7A"/>
    <w:rsid w:val="002965D0"/>
    <w:rsid w:val="002972FF"/>
    <w:rsid w:val="00297C8C"/>
    <w:rsid w:val="002A0571"/>
    <w:rsid w:val="002A0B80"/>
    <w:rsid w:val="002A66D6"/>
    <w:rsid w:val="002B07A1"/>
    <w:rsid w:val="002B1856"/>
    <w:rsid w:val="002B4DEF"/>
    <w:rsid w:val="002B4F33"/>
    <w:rsid w:val="002B61AB"/>
    <w:rsid w:val="002B733F"/>
    <w:rsid w:val="002B77F1"/>
    <w:rsid w:val="002C1139"/>
    <w:rsid w:val="002C13EC"/>
    <w:rsid w:val="002C1F84"/>
    <w:rsid w:val="002C29FE"/>
    <w:rsid w:val="002C2E30"/>
    <w:rsid w:val="002C4750"/>
    <w:rsid w:val="002C5992"/>
    <w:rsid w:val="002C6076"/>
    <w:rsid w:val="002D1AEE"/>
    <w:rsid w:val="002D3606"/>
    <w:rsid w:val="002E106B"/>
    <w:rsid w:val="002E265E"/>
    <w:rsid w:val="002E2B0D"/>
    <w:rsid w:val="002F049B"/>
    <w:rsid w:val="002F2347"/>
    <w:rsid w:val="002F476D"/>
    <w:rsid w:val="002F52FE"/>
    <w:rsid w:val="002F596D"/>
    <w:rsid w:val="0030234A"/>
    <w:rsid w:val="00302DD2"/>
    <w:rsid w:val="0030447C"/>
    <w:rsid w:val="00305662"/>
    <w:rsid w:val="00310B12"/>
    <w:rsid w:val="0031288B"/>
    <w:rsid w:val="00312CB2"/>
    <w:rsid w:val="00314B92"/>
    <w:rsid w:val="00320D34"/>
    <w:rsid w:val="00324CCC"/>
    <w:rsid w:val="0032542F"/>
    <w:rsid w:val="00330CD6"/>
    <w:rsid w:val="00334400"/>
    <w:rsid w:val="00335987"/>
    <w:rsid w:val="00340DFA"/>
    <w:rsid w:val="00345945"/>
    <w:rsid w:val="00347FB9"/>
    <w:rsid w:val="0035144F"/>
    <w:rsid w:val="00355937"/>
    <w:rsid w:val="0035658B"/>
    <w:rsid w:val="00357867"/>
    <w:rsid w:val="00357AB2"/>
    <w:rsid w:val="003609DE"/>
    <w:rsid w:val="00362B6C"/>
    <w:rsid w:val="0036425E"/>
    <w:rsid w:val="00364BB6"/>
    <w:rsid w:val="00365D5D"/>
    <w:rsid w:val="00366EBD"/>
    <w:rsid w:val="00370ECE"/>
    <w:rsid w:val="003723EC"/>
    <w:rsid w:val="00373E6B"/>
    <w:rsid w:val="00373F93"/>
    <w:rsid w:val="00374282"/>
    <w:rsid w:val="003745A3"/>
    <w:rsid w:val="00374A20"/>
    <w:rsid w:val="00377802"/>
    <w:rsid w:val="00380872"/>
    <w:rsid w:val="00381466"/>
    <w:rsid w:val="00383326"/>
    <w:rsid w:val="003858E0"/>
    <w:rsid w:val="003866C0"/>
    <w:rsid w:val="00387B07"/>
    <w:rsid w:val="00390068"/>
    <w:rsid w:val="00390D04"/>
    <w:rsid w:val="003924D7"/>
    <w:rsid w:val="003940A8"/>
    <w:rsid w:val="0039418B"/>
    <w:rsid w:val="003946EF"/>
    <w:rsid w:val="00396B63"/>
    <w:rsid w:val="00397059"/>
    <w:rsid w:val="003A04FD"/>
    <w:rsid w:val="003A0797"/>
    <w:rsid w:val="003A10BE"/>
    <w:rsid w:val="003A3084"/>
    <w:rsid w:val="003A32C6"/>
    <w:rsid w:val="003A4426"/>
    <w:rsid w:val="003A5C3E"/>
    <w:rsid w:val="003A7B69"/>
    <w:rsid w:val="003B1204"/>
    <w:rsid w:val="003B5B32"/>
    <w:rsid w:val="003B751C"/>
    <w:rsid w:val="003C0B72"/>
    <w:rsid w:val="003C12A1"/>
    <w:rsid w:val="003C3C09"/>
    <w:rsid w:val="003C5056"/>
    <w:rsid w:val="003C64EE"/>
    <w:rsid w:val="003C672E"/>
    <w:rsid w:val="003C6D0B"/>
    <w:rsid w:val="003D15E4"/>
    <w:rsid w:val="003D4905"/>
    <w:rsid w:val="003D6C35"/>
    <w:rsid w:val="003D7F03"/>
    <w:rsid w:val="003E3850"/>
    <w:rsid w:val="003E4894"/>
    <w:rsid w:val="003E51CE"/>
    <w:rsid w:val="003E7F00"/>
    <w:rsid w:val="003F2A87"/>
    <w:rsid w:val="003F7048"/>
    <w:rsid w:val="004014E8"/>
    <w:rsid w:val="00402343"/>
    <w:rsid w:val="00403B62"/>
    <w:rsid w:val="00404455"/>
    <w:rsid w:val="00405236"/>
    <w:rsid w:val="004053DB"/>
    <w:rsid w:val="00405FC4"/>
    <w:rsid w:val="00406BE5"/>
    <w:rsid w:val="00407C15"/>
    <w:rsid w:val="0041415A"/>
    <w:rsid w:val="004155E1"/>
    <w:rsid w:val="00420589"/>
    <w:rsid w:val="0042082E"/>
    <w:rsid w:val="00421C64"/>
    <w:rsid w:val="00424099"/>
    <w:rsid w:val="00424BC5"/>
    <w:rsid w:val="00433E76"/>
    <w:rsid w:val="004341F0"/>
    <w:rsid w:val="004345B6"/>
    <w:rsid w:val="004358E6"/>
    <w:rsid w:val="0043655D"/>
    <w:rsid w:val="00442978"/>
    <w:rsid w:val="00446647"/>
    <w:rsid w:val="00446915"/>
    <w:rsid w:val="00450016"/>
    <w:rsid w:val="004513C2"/>
    <w:rsid w:val="0045306F"/>
    <w:rsid w:val="0045622A"/>
    <w:rsid w:val="00457190"/>
    <w:rsid w:val="00457BE6"/>
    <w:rsid w:val="00457F63"/>
    <w:rsid w:val="00461020"/>
    <w:rsid w:val="00461866"/>
    <w:rsid w:val="00464710"/>
    <w:rsid w:val="0046609F"/>
    <w:rsid w:val="004661C7"/>
    <w:rsid w:val="00470CC3"/>
    <w:rsid w:val="00472A2E"/>
    <w:rsid w:val="0047310C"/>
    <w:rsid w:val="004732A3"/>
    <w:rsid w:val="004734D7"/>
    <w:rsid w:val="00476E5E"/>
    <w:rsid w:val="00481A0C"/>
    <w:rsid w:val="00484949"/>
    <w:rsid w:val="0048508E"/>
    <w:rsid w:val="004871BB"/>
    <w:rsid w:val="00487C93"/>
    <w:rsid w:val="00487E45"/>
    <w:rsid w:val="004960D5"/>
    <w:rsid w:val="0049653A"/>
    <w:rsid w:val="004A3D76"/>
    <w:rsid w:val="004A42AE"/>
    <w:rsid w:val="004A57B8"/>
    <w:rsid w:val="004A5C7C"/>
    <w:rsid w:val="004B22C9"/>
    <w:rsid w:val="004B5066"/>
    <w:rsid w:val="004B66E0"/>
    <w:rsid w:val="004C1289"/>
    <w:rsid w:val="004C1537"/>
    <w:rsid w:val="004C3F48"/>
    <w:rsid w:val="004C5C36"/>
    <w:rsid w:val="004C6BBE"/>
    <w:rsid w:val="004D238C"/>
    <w:rsid w:val="004D42A0"/>
    <w:rsid w:val="004D5EDB"/>
    <w:rsid w:val="004D6093"/>
    <w:rsid w:val="004D6AB6"/>
    <w:rsid w:val="004D7AD5"/>
    <w:rsid w:val="004E3627"/>
    <w:rsid w:val="004E4B12"/>
    <w:rsid w:val="004E4D79"/>
    <w:rsid w:val="004E631E"/>
    <w:rsid w:val="004E653A"/>
    <w:rsid w:val="005002C3"/>
    <w:rsid w:val="00500E08"/>
    <w:rsid w:val="0050256B"/>
    <w:rsid w:val="0050606D"/>
    <w:rsid w:val="00510633"/>
    <w:rsid w:val="00510D89"/>
    <w:rsid w:val="0051222A"/>
    <w:rsid w:val="00512E66"/>
    <w:rsid w:val="00513A0B"/>
    <w:rsid w:val="00516EF6"/>
    <w:rsid w:val="005256EE"/>
    <w:rsid w:val="00525943"/>
    <w:rsid w:val="0053165E"/>
    <w:rsid w:val="00532DDF"/>
    <w:rsid w:val="005330A2"/>
    <w:rsid w:val="00534CE0"/>
    <w:rsid w:val="00535379"/>
    <w:rsid w:val="0053619A"/>
    <w:rsid w:val="005522D7"/>
    <w:rsid w:val="00555669"/>
    <w:rsid w:val="005561F3"/>
    <w:rsid w:val="00557C36"/>
    <w:rsid w:val="005624C5"/>
    <w:rsid w:val="005627E7"/>
    <w:rsid w:val="0056379D"/>
    <w:rsid w:val="00563A29"/>
    <w:rsid w:val="00563AA5"/>
    <w:rsid w:val="00564D4E"/>
    <w:rsid w:val="0056538F"/>
    <w:rsid w:val="005657EE"/>
    <w:rsid w:val="00566A77"/>
    <w:rsid w:val="00566BF7"/>
    <w:rsid w:val="00567FE3"/>
    <w:rsid w:val="00570408"/>
    <w:rsid w:val="00570E3B"/>
    <w:rsid w:val="00571D74"/>
    <w:rsid w:val="00573CB7"/>
    <w:rsid w:val="00574AB9"/>
    <w:rsid w:val="00575907"/>
    <w:rsid w:val="00580BF3"/>
    <w:rsid w:val="00584864"/>
    <w:rsid w:val="00584E16"/>
    <w:rsid w:val="00587026"/>
    <w:rsid w:val="0059244C"/>
    <w:rsid w:val="00592F24"/>
    <w:rsid w:val="0059525C"/>
    <w:rsid w:val="00596748"/>
    <w:rsid w:val="00596BCD"/>
    <w:rsid w:val="005A0FD6"/>
    <w:rsid w:val="005A234C"/>
    <w:rsid w:val="005A2A50"/>
    <w:rsid w:val="005A5F15"/>
    <w:rsid w:val="005B0B2E"/>
    <w:rsid w:val="005B15C2"/>
    <w:rsid w:val="005B4D63"/>
    <w:rsid w:val="005C041A"/>
    <w:rsid w:val="005C1529"/>
    <w:rsid w:val="005C5781"/>
    <w:rsid w:val="005C6776"/>
    <w:rsid w:val="005C7025"/>
    <w:rsid w:val="005D1A1E"/>
    <w:rsid w:val="005D221D"/>
    <w:rsid w:val="005D24E0"/>
    <w:rsid w:val="005D4750"/>
    <w:rsid w:val="005D5F01"/>
    <w:rsid w:val="005D7B0D"/>
    <w:rsid w:val="005E160F"/>
    <w:rsid w:val="005E1C1B"/>
    <w:rsid w:val="005E232B"/>
    <w:rsid w:val="005E6F54"/>
    <w:rsid w:val="005F1098"/>
    <w:rsid w:val="005F4094"/>
    <w:rsid w:val="005F4FF5"/>
    <w:rsid w:val="005F798B"/>
    <w:rsid w:val="006002B3"/>
    <w:rsid w:val="00600839"/>
    <w:rsid w:val="006009A3"/>
    <w:rsid w:val="00600ED2"/>
    <w:rsid w:val="006035C1"/>
    <w:rsid w:val="00604AF0"/>
    <w:rsid w:val="00604D16"/>
    <w:rsid w:val="00605A43"/>
    <w:rsid w:val="006060E2"/>
    <w:rsid w:val="006065CB"/>
    <w:rsid w:val="00612323"/>
    <w:rsid w:val="006126E7"/>
    <w:rsid w:val="006207D8"/>
    <w:rsid w:val="00625106"/>
    <w:rsid w:val="0062677B"/>
    <w:rsid w:val="00637BBC"/>
    <w:rsid w:val="006412B0"/>
    <w:rsid w:val="006417E6"/>
    <w:rsid w:val="00641FB9"/>
    <w:rsid w:val="006432CD"/>
    <w:rsid w:val="00643583"/>
    <w:rsid w:val="00643611"/>
    <w:rsid w:val="00644447"/>
    <w:rsid w:val="006459A6"/>
    <w:rsid w:val="006465AC"/>
    <w:rsid w:val="006478D9"/>
    <w:rsid w:val="00647E93"/>
    <w:rsid w:val="00654518"/>
    <w:rsid w:val="00655507"/>
    <w:rsid w:val="006610BC"/>
    <w:rsid w:val="006633D8"/>
    <w:rsid w:val="006634C2"/>
    <w:rsid w:val="0066419D"/>
    <w:rsid w:val="00665F1E"/>
    <w:rsid w:val="006730DD"/>
    <w:rsid w:val="00676118"/>
    <w:rsid w:val="0067791C"/>
    <w:rsid w:val="0068018D"/>
    <w:rsid w:val="00681905"/>
    <w:rsid w:val="00690BF6"/>
    <w:rsid w:val="006918A5"/>
    <w:rsid w:val="00691B7F"/>
    <w:rsid w:val="00691F53"/>
    <w:rsid w:val="006931E0"/>
    <w:rsid w:val="0069443B"/>
    <w:rsid w:val="006948C4"/>
    <w:rsid w:val="006A0A71"/>
    <w:rsid w:val="006A15B1"/>
    <w:rsid w:val="006A31A3"/>
    <w:rsid w:val="006A3237"/>
    <w:rsid w:val="006A4BF3"/>
    <w:rsid w:val="006A7919"/>
    <w:rsid w:val="006B02FB"/>
    <w:rsid w:val="006B44E2"/>
    <w:rsid w:val="006B49B8"/>
    <w:rsid w:val="006B4DAF"/>
    <w:rsid w:val="006B5C0C"/>
    <w:rsid w:val="006B6442"/>
    <w:rsid w:val="006B71C0"/>
    <w:rsid w:val="006B74E8"/>
    <w:rsid w:val="006C0247"/>
    <w:rsid w:val="006C272C"/>
    <w:rsid w:val="006C57F0"/>
    <w:rsid w:val="006C74DB"/>
    <w:rsid w:val="006D0829"/>
    <w:rsid w:val="006D30B2"/>
    <w:rsid w:val="006E27BC"/>
    <w:rsid w:val="006E2AAA"/>
    <w:rsid w:val="006E2D92"/>
    <w:rsid w:val="006E2E8F"/>
    <w:rsid w:val="006E4F78"/>
    <w:rsid w:val="006E5B57"/>
    <w:rsid w:val="006E5BC2"/>
    <w:rsid w:val="006F002A"/>
    <w:rsid w:val="006F0999"/>
    <w:rsid w:val="006F17E5"/>
    <w:rsid w:val="006F1F1E"/>
    <w:rsid w:val="006F76A2"/>
    <w:rsid w:val="00702679"/>
    <w:rsid w:val="00703569"/>
    <w:rsid w:val="00704DBD"/>
    <w:rsid w:val="00705439"/>
    <w:rsid w:val="00705447"/>
    <w:rsid w:val="007055D6"/>
    <w:rsid w:val="0070576F"/>
    <w:rsid w:val="00706B4C"/>
    <w:rsid w:val="00707E32"/>
    <w:rsid w:val="00711447"/>
    <w:rsid w:val="00711F04"/>
    <w:rsid w:val="00713366"/>
    <w:rsid w:val="007137AC"/>
    <w:rsid w:val="00721337"/>
    <w:rsid w:val="00725F14"/>
    <w:rsid w:val="007300BC"/>
    <w:rsid w:val="00732982"/>
    <w:rsid w:val="00732D71"/>
    <w:rsid w:val="007346C5"/>
    <w:rsid w:val="00736C63"/>
    <w:rsid w:val="00737A96"/>
    <w:rsid w:val="00742BAD"/>
    <w:rsid w:val="007438A7"/>
    <w:rsid w:val="00743901"/>
    <w:rsid w:val="00743B7E"/>
    <w:rsid w:val="007440EC"/>
    <w:rsid w:val="007473EC"/>
    <w:rsid w:val="00747517"/>
    <w:rsid w:val="007478AA"/>
    <w:rsid w:val="00751A27"/>
    <w:rsid w:val="00751D0B"/>
    <w:rsid w:val="00751F2E"/>
    <w:rsid w:val="00754E82"/>
    <w:rsid w:val="00755698"/>
    <w:rsid w:val="00756AA8"/>
    <w:rsid w:val="00756E66"/>
    <w:rsid w:val="00761392"/>
    <w:rsid w:val="00761AD4"/>
    <w:rsid w:val="00763C4E"/>
    <w:rsid w:val="007640E7"/>
    <w:rsid w:val="00764D62"/>
    <w:rsid w:val="00765A9C"/>
    <w:rsid w:val="00765A9F"/>
    <w:rsid w:val="007667F3"/>
    <w:rsid w:val="00767B26"/>
    <w:rsid w:val="007710E9"/>
    <w:rsid w:val="0077289A"/>
    <w:rsid w:val="00772A3C"/>
    <w:rsid w:val="00775BE4"/>
    <w:rsid w:val="00776E0D"/>
    <w:rsid w:val="00780491"/>
    <w:rsid w:val="00781866"/>
    <w:rsid w:val="007824E1"/>
    <w:rsid w:val="00783DDF"/>
    <w:rsid w:val="0078455D"/>
    <w:rsid w:val="00784634"/>
    <w:rsid w:val="00784636"/>
    <w:rsid w:val="00784919"/>
    <w:rsid w:val="00784B4E"/>
    <w:rsid w:val="00784DCF"/>
    <w:rsid w:val="00785D18"/>
    <w:rsid w:val="00792571"/>
    <w:rsid w:val="00792944"/>
    <w:rsid w:val="0079383F"/>
    <w:rsid w:val="00794051"/>
    <w:rsid w:val="007946B3"/>
    <w:rsid w:val="00794866"/>
    <w:rsid w:val="00795A00"/>
    <w:rsid w:val="00796114"/>
    <w:rsid w:val="007972E9"/>
    <w:rsid w:val="007A7024"/>
    <w:rsid w:val="007B0C8D"/>
    <w:rsid w:val="007B249D"/>
    <w:rsid w:val="007B59C0"/>
    <w:rsid w:val="007B5D00"/>
    <w:rsid w:val="007B658D"/>
    <w:rsid w:val="007B6CF0"/>
    <w:rsid w:val="007C1C17"/>
    <w:rsid w:val="007C31D2"/>
    <w:rsid w:val="007C5E4E"/>
    <w:rsid w:val="007D07CE"/>
    <w:rsid w:val="007D3BEE"/>
    <w:rsid w:val="007D4AB7"/>
    <w:rsid w:val="007D7E43"/>
    <w:rsid w:val="007E04FE"/>
    <w:rsid w:val="007E1DE9"/>
    <w:rsid w:val="007E2FAA"/>
    <w:rsid w:val="007E3848"/>
    <w:rsid w:val="007E3E0C"/>
    <w:rsid w:val="007E5725"/>
    <w:rsid w:val="007E6BEE"/>
    <w:rsid w:val="007F27EC"/>
    <w:rsid w:val="007F3638"/>
    <w:rsid w:val="007F4CFC"/>
    <w:rsid w:val="007F4F9A"/>
    <w:rsid w:val="00802BB5"/>
    <w:rsid w:val="008044B1"/>
    <w:rsid w:val="00804797"/>
    <w:rsid w:val="00804E45"/>
    <w:rsid w:val="00805771"/>
    <w:rsid w:val="00806D32"/>
    <w:rsid w:val="00813429"/>
    <w:rsid w:val="00814D12"/>
    <w:rsid w:val="00821054"/>
    <w:rsid w:val="008216DD"/>
    <w:rsid w:val="008250A0"/>
    <w:rsid w:val="00825A54"/>
    <w:rsid w:val="00827956"/>
    <w:rsid w:val="00830B71"/>
    <w:rsid w:val="00831989"/>
    <w:rsid w:val="0083626C"/>
    <w:rsid w:val="00836A3A"/>
    <w:rsid w:val="0084561A"/>
    <w:rsid w:val="00845F93"/>
    <w:rsid w:val="00846DA7"/>
    <w:rsid w:val="00847AEC"/>
    <w:rsid w:val="00855F7A"/>
    <w:rsid w:val="00857758"/>
    <w:rsid w:val="0086031B"/>
    <w:rsid w:val="0086103E"/>
    <w:rsid w:val="00861884"/>
    <w:rsid w:val="00866452"/>
    <w:rsid w:val="00866B2B"/>
    <w:rsid w:val="0087000A"/>
    <w:rsid w:val="008700DD"/>
    <w:rsid w:val="0088249A"/>
    <w:rsid w:val="00885117"/>
    <w:rsid w:val="00885409"/>
    <w:rsid w:val="0088581C"/>
    <w:rsid w:val="00891B0B"/>
    <w:rsid w:val="00893065"/>
    <w:rsid w:val="00893CF7"/>
    <w:rsid w:val="00893EB0"/>
    <w:rsid w:val="00894F27"/>
    <w:rsid w:val="00897BF5"/>
    <w:rsid w:val="008A14E7"/>
    <w:rsid w:val="008A203F"/>
    <w:rsid w:val="008A2150"/>
    <w:rsid w:val="008A3558"/>
    <w:rsid w:val="008A5491"/>
    <w:rsid w:val="008A5953"/>
    <w:rsid w:val="008A61CB"/>
    <w:rsid w:val="008A6255"/>
    <w:rsid w:val="008B0116"/>
    <w:rsid w:val="008B09E2"/>
    <w:rsid w:val="008B24C3"/>
    <w:rsid w:val="008B321C"/>
    <w:rsid w:val="008B3309"/>
    <w:rsid w:val="008B4506"/>
    <w:rsid w:val="008B5948"/>
    <w:rsid w:val="008B6D20"/>
    <w:rsid w:val="008C238B"/>
    <w:rsid w:val="008C30BF"/>
    <w:rsid w:val="008C4986"/>
    <w:rsid w:val="008D0DE9"/>
    <w:rsid w:val="008D4BC3"/>
    <w:rsid w:val="008D680A"/>
    <w:rsid w:val="008D6C57"/>
    <w:rsid w:val="008D79A5"/>
    <w:rsid w:val="008E1C7B"/>
    <w:rsid w:val="008E2971"/>
    <w:rsid w:val="008E46FD"/>
    <w:rsid w:val="008E5A1C"/>
    <w:rsid w:val="008E6208"/>
    <w:rsid w:val="008E768B"/>
    <w:rsid w:val="008E7B05"/>
    <w:rsid w:val="008F09FF"/>
    <w:rsid w:val="008F4338"/>
    <w:rsid w:val="008F4E99"/>
    <w:rsid w:val="008F62BD"/>
    <w:rsid w:val="008F785B"/>
    <w:rsid w:val="008F7EC5"/>
    <w:rsid w:val="009049D0"/>
    <w:rsid w:val="009058E6"/>
    <w:rsid w:val="009065DE"/>
    <w:rsid w:val="0091190A"/>
    <w:rsid w:val="009137D0"/>
    <w:rsid w:val="00913846"/>
    <w:rsid w:val="00914616"/>
    <w:rsid w:val="009166D1"/>
    <w:rsid w:val="0091688B"/>
    <w:rsid w:val="0092046E"/>
    <w:rsid w:val="009236AD"/>
    <w:rsid w:val="009245D4"/>
    <w:rsid w:val="009251E2"/>
    <w:rsid w:val="0092748B"/>
    <w:rsid w:val="009313C5"/>
    <w:rsid w:val="00931F7F"/>
    <w:rsid w:val="00932F79"/>
    <w:rsid w:val="00935192"/>
    <w:rsid w:val="009424B5"/>
    <w:rsid w:val="00942AE9"/>
    <w:rsid w:val="009437D2"/>
    <w:rsid w:val="00946715"/>
    <w:rsid w:val="00946C66"/>
    <w:rsid w:val="00946FD2"/>
    <w:rsid w:val="0095021A"/>
    <w:rsid w:val="009512B0"/>
    <w:rsid w:val="009518E6"/>
    <w:rsid w:val="00951F7C"/>
    <w:rsid w:val="00953D3A"/>
    <w:rsid w:val="00953F49"/>
    <w:rsid w:val="00956440"/>
    <w:rsid w:val="0096100E"/>
    <w:rsid w:val="00962D9E"/>
    <w:rsid w:val="00964A85"/>
    <w:rsid w:val="00966BCF"/>
    <w:rsid w:val="00971D13"/>
    <w:rsid w:val="00972FE4"/>
    <w:rsid w:val="00973327"/>
    <w:rsid w:val="00974526"/>
    <w:rsid w:val="009766FC"/>
    <w:rsid w:val="009769FF"/>
    <w:rsid w:val="00976C96"/>
    <w:rsid w:val="00983193"/>
    <w:rsid w:val="00984767"/>
    <w:rsid w:val="00985933"/>
    <w:rsid w:val="00986FF3"/>
    <w:rsid w:val="00987C84"/>
    <w:rsid w:val="009930FD"/>
    <w:rsid w:val="00994CF1"/>
    <w:rsid w:val="00995CAE"/>
    <w:rsid w:val="00995CB2"/>
    <w:rsid w:val="00997850"/>
    <w:rsid w:val="009A00B1"/>
    <w:rsid w:val="009A0781"/>
    <w:rsid w:val="009B06A9"/>
    <w:rsid w:val="009B198B"/>
    <w:rsid w:val="009B1C53"/>
    <w:rsid w:val="009B70F4"/>
    <w:rsid w:val="009C101E"/>
    <w:rsid w:val="009C4FE6"/>
    <w:rsid w:val="009C5684"/>
    <w:rsid w:val="009D36DC"/>
    <w:rsid w:val="009D5DB7"/>
    <w:rsid w:val="009D66A8"/>
    <w:rsid w:val="009D7AB7"/>
    <w:rsid w:val="009E1902"/>
    <w:rsid w:val="009E212A"/>
    <w:rsid w:val="009E30D2"/>
    <w:rsid w:val="009E553B"/>
    <w:rsid w:val="009E6661"/>
    <w:rsid w:val="009E6A03"/>
    <w:rsid w:val="009F025B"/>
    <w:rsid w:val="009F3DF9"/>
    <w:rsid w:val="009F4925"/>
    <w:rsid w:val="00A03465"/>
    <w:rsid w:val="00A0371A"/>
    <w:rsid w:val="00A06EF9"/>
    <w:rsid w:val="00A1001A"/>
    <w:rsid w:val="00A13748"/>
    <w:rsid w:val="00A200B3"/>
    <w:rsid w:val="00A208A1"/>
    <w:rsid w:val="00A20D5F"/>
    <w:rsid w:val="00A22041"/>
    <w:rsid w:val="00A224E9"/>
    <w:rsid w:val="00A228E0"/>
    <w:rsid w:val="00A23AB4"/>
    <w:rsid w:val="00A23C47"/>
    <w:rsid w:val="00A24324"/>
    <w:rsid w:val="00A24605"/>
    <w:rsid w:val="00A26BE6"/>
    <w:rsid w:val="00A26DF8"/>
    <w:rsid w:val="00A27F81"/>
    <w:rsid w:val="00A32916"/>
    <w:rsid w:val="00A41AF1"/>
    <w:rsid w:val="00A41F92"/>
    <w:rsid w:val="00A421D0"/>
    <w:rsid w:val="00A429B0"/>
    <w:rsid w:val="00A43AF7"/>
    <w:rsid w:val="00A51846"/>
    <w:rsid w:val="00A54751"/>
    <w:rsid w:val="00A5565D"/>
    <w:rsid w:val="00A57AEB"/>
    <w:rsid w:val="00A57F9D"/>
    <w:rsid w:val="00A651FB"/>
    <w:rsid w:val="00A66DD1"/>
    <w:rsid w:val="00A66F9F"/>
    <w:rsid w:val="00A67679"/>
    <w:rsid w:val="00A70D3D"/>
    <w:rsid w:val="00A712E3"/>
    <w:rsid w:val="00A73AC8"/>
    <w:rsid w:val="00A74894"/>
    <w:rsid w:val="00A7570A"/>
    <w:rsid w:val="00A76FE1"/>
    <w:rsid w:val="00A819F6"/>
    <w:rsid w:val="00A81DFC"/>
    <w:rsid w:val="00A83A88"/>
    <w:rsid w:val="00A840AF"/>
    <w:rsid w:val="00A8559F"/>
    <w:rsid w:val="00A8629B"/>
    <w:rsid w:val="00A924D6"/>
    <w:rsid w:val="00A94016"/>
    <w:rsid w:val="00A955F3"/>
    <w:rsid w:val="00A95966"/>
    <w:rsid w:val="00A9656B"/>
    <w:rsid w:val="00AA5427"/>
    <w:rsid w:val="00AA6173"/>
    <w:rsid w:val="00AA62C9"/>
    <w:rsid w:val="00AA6A59"/>
    <w:rsid w:val="00AB1D1C"/>
    <w:rsid w:val="00AB2D8C"/>
    <w:rsid w:val="00AB4D77"/>
    <w:rsid w:val="00AB5DD4"/>
    <w:rsid w:val="00AC0038"/>
    <w:rsid w:val="00AC0093"/>
    <w:rsid w:val="00AC08B7"/>
    <w:rsid w:val="00AC26DC"/>
    <w:rsid w:val="00AC383A"/>
    <w:rsid w:val="00AC3BC8"/>
    <w:rsid w:val="00AC4A26"/>
    <w:rsid w:val="00AD2E77"/>
    <w:rsid w:val="00AD33A8"/>
    <w:rsid w:val="00AD4700"/>
    <w:rsid w:val="00AD5BD2"/>
    <w:rsid w:val="00AD73A7"/>
    <w:rsid w:val="00AD7842"/>
    <w:rsid w:val="00AE11F0"/>
    <w:rsid w:val="00AE138A"/>
    <w:rsid w:val="00AE1807"/>
    <w:rsid w:val="00AE4D53"/>
    <w:rsid w:val="00AE5365"/>
    <w:rsid w:val="00AE7D13"/>
    <w:rsid w:val="00AF29A1"/>
    <w:rsid w:val="00AF6A26"/>
    <w:rsid w:val="00AF6CD6"/>
    <w:rsid w:val="00AFCC5B"/>
    <w:rsid w:val="00B0031C"/>
    <w:rsid w:val="00B10FCA"/>
    <w:rsid w:val="00B11180"/>
    <w:rsid w:val="00B11570"/>
    <w:rsid w:val="00B117A9"/>
    <w:rsid w:val="00B118BF"/>
    <w:rsid w:val="00B123E6"/>
    <w:rsid w:val="00B14762"/>
    <w:rsid w:val="00B14BDC"/>
    <w:rsid w:val="00B15590"/>
    <w:rsid w:val="00B2233A"/>
    <w:rsid w:val="00B23A36"/>
    <w:rsid w:val="00B251A1"/>
    <w:rsid w:val="00B266F9"/>
    <w:rsid w:val="00B313F0"/>
    <w:rsid w:val="00B32E14"/>
    <w:rsid w:val="00B34257"/>
    <w:rsid w:val="00B343C0"/>
    <w:rsid w:val="00B351B1"/>
    <w:rsid w:val="00B35797"/>
    <w:rsid w:val="00B4043A"/>
    <w:rsid w:val="00B4065F"/>
    <w:rsid w:val="00B412D2"/>
    <w:rsid w:val="00B436BA"/>
    <w:rsid w:val="00B45BFA"/>
    <w:rsid w:val="00B45C7D"/>
    <w:rsid w:val="00B5164E"/>
    <w:rsid w:val="00B52D4D"/>
    <w:rsid w:val="00B53B34"/>
    <w:rsid w:val="00B54667"/>
    <w:rsid w:val="00B55BC4"/>
    <w:rsid w:val="00B62169"/>
    <w:rsid w:val="00B653BC"/>
    <w:rsid w:val="00B721BB"/>
    <w:rsid w:val="00B72430"/>
    <w:rsid w:val="00B72CC0"/>
    <w:rsid w:val="00B737D4"/>
    <w:rsid w:val="00B74F66"/>
    <w:rsid w:val="00B76A32"/>
    <w:rsid w:val="00B76A76"/>
    <w:rsid w:val="00B77597"/>
    <w:rsid w:val="00B80224"/>
    <w:rsid w:val="00B80433"/>
    <w:rsid w:val="00B815BD"/>
    <w:rsid w:val="00B84FEA"/>
    <w:rsid w:val="00B8598B"/>
    <w:rsid w:val="00B8602E"/>
    <w:rsid w:val="00B91EF6"/>
    <w:rsid w:val="00B9246C"/>
    <w:rsid w:val="00B94810"/>
    <w:rsid w:val="00B94A94"/>
    <w:rsid w:val="00B9571C"/>
    <w:rsid w:val="00B97168"/>
    <w:rsid w:val="00BA0CA4"/>
    <w:rsid w:val="00BA57A5"/>
    <w:rsid w:val="00BB0462"/>
    <w:rsid w:val="00BB06E1"/>
    <w:rsid w:val="00BB0DA6"/>
    <w:rsid w:val="00BB7E5D"/>
    <w:rsid w:val="00BC04B6"/>
    <w:rsid w:val="00BC0E68"/>
    <w:rsid w:val="00BC2A24"/>
    <w:rsid w:val="00BC3442"/>
    <w:rsid w:val="00BC703C"/>
    <w:rsid w:val="00BC75FE"/>
    <w:rsid w:val="00BD12F7"/>
    <w:rsid w:val="00BD2182"/>
    <w:rsid w:val="00BD3503"/>
    <w:rsid w:val="00BD5681"/>
    <w:rsid w:val="00BD593A"/>
    <w:rsid w:val="00BD75B7"/>
    <w:rsid w:val="00BD7844"/>
    <w:rsid w:val="00BE66A4"/>
    <w:rsid w:val="00BF2D8F"/>
    <w:rsid w:val="00BF34BB"/>
    <w:rsid w:val="00C0005A"/>
    <w:rsid w:val="00C02308"/>
    <w:rsid w:val="00C02B89"/>
    <w:rsid w:val="00C03CB4"/>
    <w:rsid w:val="00C03D62"/>
    <w:rsid w:val="00C0687D"/>
    <w:rsid w:val="00C06DA5"/>
    <w:rsid w:val="00C11445"/>
    <w:rsid w:val="00C11BE4"/>
    <w:rsid w:val="00C12303"/>
    <w:rsid w:val="00C201CF"/>
    <w:rsid w:val="00C25B38"/>
    <w:rsid w:val="00C308E2"/>
    <w:rsid w:val="00C30F91"/>
    <w:rsid w:val="00C312D1"/>
    <w:rsid w:val="00C31CD7"/>
    <w:rsid w:val="00C34AFB"/>
    <w:rsid w:val="00C36A85"/>
    <w:rsid w:val="00C431E2"/>
    <w:rsid w:val="00C45651"/>
    <w:rsid w:val="00C47864"/>
    <w:rsid w:val="00C509E8"/>
    <w:rsid w:val="00C50B24"/>
    <w:rsid w:val="00C53E72"/>
    <w:rsid w:val="00C5405F"/>
    <w:rsid w:val="00C578AA"/>
    <w:rsid w:val="00C610B4"/>
    <w:rsid w:val="00C618CA"/>
    <w:rsid w:val="00C61BFE"/>
    <w:rsid w:val="00C71BA7"/>
    <w:rsid w:val="00C72CA9"/>
    <w:rsid w:val="00C7411A"/>
    <w:rsid w:val="00C745EF"/>
    <w:rsid w:val="00C8061E"/>
    <w:rsid w:val="00C80BA5"/>
    <w:rsid w:val="00C81007"/>
    <w:rsid w:val="00C818EE"/>
    <w:rsid w:val="00C833E7"/>
    <w:rsid w:val="00C83C50"/>
    <w:rsid w:val="00C863DC"/>
    <w:rsid w:val="00C92AD1"/>
    <w:rsid w:val="00C9323C"/>
    <w:rsid w:val="00C93318"/>
    <w:rsid w:val="00C9346B"/>
    <w:rsid w:val="00C94D38"/>
    <w:rsid w:val="00CA12CC"/>
    <w:rsid w:val="00CA284B"/>
    <w:rsid w:val="00CA2FB8"/>
    <w:rsid w:val="00CA644D"/>
    <w:rsid w:val="00CA684F"/>
    <w:rsid w:val="00CA6A29"/>
    <w:rsid w:val="00CA7B56"/>
    <w:rsid w:val="00CB0F5D"/>
    <w:rsid w:val="00CB324A"/>
    <w:rsid w:val="00CB3683"/>
    <w:rsid w:val="00CB41C2"/>
    <w:rsid w:val="00CB4979"/>
    <w:rsid w:val="00CB4CD9"/>
    <w:rsid w:val="00CB79F0"/>
    <w:rsid w:val="00CC07E1"/>
    <w:rsid w:val="00CC2845"/>
    <w:rsid w:val="00CC2A9B"/>
    <w:rsid w:val="00CC3942"/>
    <w:rsid w:val="00CC690B"/>
    <w:rsid w:val="00CD3EF2"/>
    <w:rsid w:val="00CD401D"/>
    <w:rsid w:val="00CD4781"/>
    <w:rsid w:val="00CD7829"/>
    <w:rsid w:val="00CE03F2"/>
    <w:rsid w:val="00CE0D2D"/>
    <w:rsid w:val="00CE693F"/>
    <w:rsid w:val="00CE71DE"/>
    <w:rsid w:val="00CF0A2C"/>
    <w:rsid w:val="00CF60E0"/>
    <w:rsid w:val="00CF7C99"/>
    <w:rsid w:val="00D0393F"/>
    <w:rsid w:val="00D05C0A"/>
    <w:rsid w:val="00D06886"/>
    <w:rsid w:val="00D11210"/>
    <w:rsid w:val="00D11EE9"/>
    <w:rsid w:val="00D1457F"/>
    <w:rsid w:val="00D15DA9"/>
    <w:rsid w:val="00D164C9"/>
    <w:rsid w:val="00D169CF"/>
    <w:rsid w:val="00D2402D"/>
    <w:rsid w:val="00D24C49"/>
    <w:rsid w:val="00D26AE9"/>
    <w:rsid w:val="00D31435"/>
    <w:rsid w:val="00D33A96"/>
    <w:rsid w:val="00D3415B"/>
    <w:rsid w:val="00D411C2"/>
    <w:rsid w:val="00D41CE3"/>
    <w:rsid w:val="00D44766"/>
    <w:rsid w:val="00D44776"/>
    <w:rsid w:val="00D44D28"/>
    <w:rsid w:val="00D50C69"/>
    <w:rsid w:val="00D549F2"/>
    <w:rsid w:val="00D559C0"/>
    <w:rsid w:val="00D572D7"/>
    <w:rsid w:val="00D57596"/>
    <w:rsid w:val="00D57820"/>
    <w:rsid w:val="00D6077E"/>
    <w:rsid w:val="00D613C4"/>
    <w:rsid w:val="00D63865"/>
    <w:rsid w:val="00D65BDF"/>
    <w:rsid w:val="00D66880"/>
    <w:rsid w:val="00D67EC8"/>
    <w:rsid w:val="00D71212"/>
    <w:rsid w:val="00D7177B"/>
    <w:rsid w:val="00D7187A"/>
    <w:rsid w:val="00D7234C"/>
    <w:rsid w:val="00D73A1B"/>
    <w:rsid w:val="00D73D6A"/>
    <w:rsid w:val="00D77A0D"/>
    <w:rsid w:val="00D80A43"/>
    <w:rsid w:val="00D80FF5"/>
    <w:rsid w:val="00D82EA8"/>
    <w:rsid w:val="00D8300D"/>
    <w:rsid w:val="00D8428F"/>
    <w:rsid w:val="00D84504"/>
    <w:rsid w:val="00D861E4"/>
    <w:rsid w:val="00D878A0"/>
    <w:rsid w:val="00D90804"/>
    <w:rsid w:val="00D93344"/>
    <w:rsid w:val="00D96469"/>
    <w:rsid w:val="00D9712B"/>
    <w:rsid w:val="00DA0DD7"/>
    <w:rsid w:val="00DA1B4B"/>
    <w:rsid w:val="00DA4402"/>
    <w:rsid w:val="00DA47D7"/>
    <w:rsid w:val="00DA6B17"/>
    <w:rsid w:val="00DA7299"/>
    <w:rsid w:val="00DA759D"/>
    <w:rsid w:val="00DA7A03"/>
    <w:rsid w:val="00DB0ABD"/>
    <w:rsid w:val="00DB113D"/>
    <w:rsid w:val="00DB1171"/>
    <w:rsid w:val="00DB1574"/>
    <w:rsid w:val="00DB17EC"/>
    <w:rsid w:val="00DB2673"/>
    <w:rsid w:val="00DB2E83"/>
    <w:rsid w:val="00DB37FA"/>
    <w:rsid w:val="00DB569E"/>
    <w:rsid w:val="00DC31EA"/>
    <w:rsid w:val="00DC3675"/>
    <w:rsid w:val="00DC4FA1"/>
    <w:rsid w:val="00DC5C9B"/>
    <w:rsid w:val="00DD1A74"/>
    <w:rsid w:val="00DD2C19"/>
    <w:rsid w:val="00DD5676"/>
    <w:rsid w:val="00DE0071"/>
    <w:rsid w:val="00DE2AE1"/>
    <w:rsid w:val="00DE3159"/>
    <w:rsid w:val="00DE662C"/>
    <w:rsid w:val="00DF0EB5"/>
    <w:rsid w:val="00DF3486"/>
    <w:rsid w:val="00E03221"/>
    <w:rsid w:val="00E05CB4"/>
    <w:rsid w:val="00E160AE"/>
    <w:rsid w:val="00E16A39"/>
    <w:rsid w:val="00E17215"/>
    <w:rsid w:val="00E21F1A"/>
    <w:rsid w:val="00E27049"/>
    <w:rsid w:val="00E27AB8"/>
    <w:rsid w:val="00E27DF5"/>
    <w:rsid w:val="00E30AFA"/>
    <w:rsid w:val="00E3394C"/>
    <w:rsid w:val="00E34DD8"/>
    <w:rsid w:val="00E40100"/>
    <w:rsid w:val="00E40A3E"/>
    <w:rsid w:val="00E44157"/>
    <w:rsid w:val="00E44901"/>
    <w:rsid w:val="00E4731A"/>
    <w:rsid w:val="00E5139F"/>
    <w:rsid w:val="00E5164E"/>
    <w:rsid w:val="00E51E6B"/>
    <w:rsid w:val="00E55B2D"/>
    <w:rsid w:val="00E561CE"/>
    <w:rsid w:val="00E56A6D"/>
    <w:rsid w:val="00E575C1"/>
    <w:rsid w:val="00E621DA"/>
    <w:rsid w:val="00E6316D"/>
    <w:rsid w:val="00E63A83"/>
    <w:rsid w:val="00E66235"/>
    <w:rsid w:val="00E7217C"/>
    <w:rsid w:val="00E72470"/>
    <w:rsid w:val="00E745CA"/>
    <w:rsid w:val="00E7535E"/>
    <w:rsid w:val="00E803E0"/>
    <w:rsid w:val="00E80D25"/>
    <w:rsid w:val="00E838E8"/>
    <w:rsid w:val="00E87607"/>
    <w:rsid w:val="00E9044D"/>
    <w:rsid w:val="00E91C26"/>
    <w:rsid w:val="00E92508"/>
    <w:rsid w:val="00E92680"/>
    <w:rsid w:val="00E93626"/>
    <w:rsid w:val="00E93B18"/>
    <w:rsid w:val="00E941F5"/>
    <w:rsid w:val="00E96157"/>
    <w:rsid w:val="00E9672F"/>
    <w:rsid w:val="00EA2722"/>
    <w:rsid w:val="00EA2734"/>
    <w:rsid w:val="00EA7CF5"/>
    <w:rsid w:val="00EB11ED"/>
    <w:rsid w:val="00EB341A"/>
    <w:rsid w:val="00EB380C"/>
    <w:rsid w:val="00EB67BD"/>
    <w:rsid w:val="00EB69DE"/>
    <w:rsid w:val="00EC0B1E"/>
    <w:rsid w:val="00EC11FB"/>
    <w:rsid w:val="00EC2FF5"/>
    <w:rsid w:val="00EC3981"/>
    <w:rsid w:val="00EC398D"/>
    <w:rsid w:val="00EC45A8"/>
    <w:rsid w:val="00EC7C34"/>
    <w:rsid w:val="00ED1008"/>
    <w:rsid w:val="00ED2BDE"/>
    <w:rsid w:val="00ED2DDA"/>
    <w:rsid w:val="00ED42A5"/>
    <w:rsid w:val="00ED6398"/>
    <w:rsid w:val="00EE1064"/>
    <w:rsid w:val="00EE19E1"/>
    <w:rsid w:val="00EE1AD4"/>
    <w:rsid w:val="00EE33CD"/>
    <w:rsid w:val="00EE384A"/>
    <w:rsid w:val="00EE405C"/>
    <w:rsid w:val="00EF0CB5"/>
    <w:rsid w:val="00EF1B08"/>
    <w:rsid w:val="00EF2443"/>
    <w:rsid w:val="00EF5DBC"/>
    <w:rsid w:val="00EF6758"/>
    <w:rsid w:val="00EF6F80"/>
    <w:rsid w:val="00EF760C"/>
    <w:rsid w:val="00F010FC"/>
    <w:rsid w:val="00F03570"/>
    <w:rsid w:val="00F060E7"/>
    <w:rsid w:val="00F06A27"/>
    <w:rsid w:val="00F07D0A"/>
    <w:rsid w:val="00F11308"/>
    <w:rsid w:val="00F131DB"/>
    <w:rsid w:val="00F14B51"/>
    <w:rsid w:val="00F20686"/>
    <w:rsid w:val="00F23AC9"/>
    <w:rsid w:val="00F25C27"/>
    <w:rsid w:val="00F268A8"/>
    <w:rsid w:val="00F26C67"/>
    <w:rsid w:val="00F26EC7"/>
    <w:rsid w:val="00F27162"/>
    <w:rsid w:val="00F3006B"/>
    <w:rsid w:val="00F30600"/>
    <w:rsid w:val="00F364C8"/>
    <w:rsid w:val="00F42854"/>
    <w:rsid w:val="00F43E5C"/>
    <w:rsid w:val="00F5048E"/>
    <w:rsid w:val="00F52EF4"/>
    <w:rsid w:val="00F52F94"/>
    <w:rsid w:val="00F55351"/>
    <w:rsid w:val="00F57181"/>
    <w:rsid w:val="00F57AEE"/>
    <w:rsid w:val="00F63685"/>
    <w:rsid w:val="00F65504"/>
    <w:rsid w:val="00F71B92"/>
    <w:rsid w:val="00F74922"/>
    <w:rsid w:val="00F74F3E"/>
    <w:rsid w:val="00F76F0B"/>
    <w:rsid w:val="00F7777C"/>
    <w:rsid w:val="00F779A3"/>
    <w:rsid w:val="00F8101E"/>
    <w:rsid w:val="00F81BA9"/>
    <w:rsid w:val="00F873A8"/>
    <w:rsid w:val="00F91A24"/>
    <w:rsid w:val="00F9478A"/>
    <w:rsid w:val="00F968AD"/>
    <w:rsid w:val="00F96E1B"/>
    <w:rsid w:val="00F97976"/>
    <w:rsid w:val="00FA1512"/>
    <w:rsid w:val="00FA2DB1"/>
    <w:rsid w:val="00FA31FC"/>
    <w:rsid w:val="00FA3353"/>
    <w:rsid w:val="00FA759F"/>
    <w:rsid w:val="00FB005B"/>
    <w:rsid w:val="00FB37FE"/>
    <w:rsid w:val="00FB5C99"/>
    <w:rsid w:val="00FB7A6B"/>
    <w:rsid w:val="00FC598A"/>
    <w:rsid w:val="00FC5D59"/>
    <w:rsid w:val="00FC6A48"/>
    <w:rsid w:val="00FD14E5"/>
    <w:rsid w:val="00FD2938"/>
    <w:rsid w:val="00FD3690"/>
    <w:rsid w:val="00FD497F"/>
    <w:rsid w:val="00FD4986"/>
    <w:rsid w:val="00FD4B8F"/>
    <w:rsid w:val="00FD5A24"/>
    <w:rsid w:val="00FE564A"/>
    <w:rsid w:val="00FF79C9"/>
    <w:rsid w:val="024E4880"/>
    <w:rsid w:val="026F341B"/>
    <w:rsid w:val="047926FD"/>
    <w:rsid w:val="0490C029"/>
    <w:rsid w:val="049B693B"/>
    <w:rsid w:val="04E09F5A"/>
    <w:rsid w:val="05C812EA"/>
    <w:rsid w:val="05DF7A4B"/>
    <w:rsid w:val="0656B64B"/>
    <w:rsid w:val="06BA988E"/>
    <w:rsid w:val="06D23237"/>
    <w:rsid w:val="06D37445"/>
    <w:rsid w:val="06EDB02B"/>
    <w:rsid w:val="0709A278"/>
    <w:rsid w:val="07961AC0"/>
    <w:rsid w:val="07C8CC0E"/>
    <w:rsid w:val="08ADB821"/>
    <w:rsid w:val="0ABC642A"/>
    <w:rsid w:val="0B813F0D"/>
    <w:rsid w:val="0BB938B6"/>
    <w:rsid w:val="0C306CD5"/>
    <w:rsid w:val="0C626587"/>
    <w:rsid w:val="0CD4D66E"/>
    <w:rsid w:val="0D1B74CF"/>
    <w:rsid w:val="0E0F1E79"/>
    <w:rsid w:val="0EF2DBEE"/>
    <w:rsid w:val="0F92EB8D"/>
    <w:rsid w:val="10A50DE1"/>
    <w:rsid w:val="11547504"/>
    <w:rsid w:val="11C59EA7"/>
    <w:rsid w:val="120E28FF"/>
    <w:rsid w:val="122A0279"/>
    <w:rsid w:val="1272BA21"/>
    <w:rsid w:val="130827F6"/>
    <w:rsid w:val="13DA8755"/>
    <w:rsid w:val="14FC2173"/>
    <w:rsid w:val="157F9D05"/>
    <w:rsid w:val="15852FB3"/>
    <w:rsid w:val="15A71656"/>
    <w:rsid w:val="15AFFC49"/>
    <w:rsid w:val="15D20B4C"/>
    <w:rsid w:val="15FDD802"/>
    <w:rsid w:val="17174E89"/>
    <w:rsid w:val="17B74BFB"/>
    <w:rsid w:val="17D220D7"/>
    <w:rsid w:val="17F667C2"/>
    <w:rsid w:val="188A65BF"/>
    <w:rsid w:val="19BFA7FB"/>
    <w:rsid w:val="19F4A49C"/>
    <w:rsid w:val="1B6AF902"/>
    <w:rsid w:val="1B83476D"/>
    <w:rsid w:val="1DC04954"/>
    <w:rsid w:val="1E87FB1B"/>
    <w:rsid w:val="20A22B32"/>
    <w:rsid w:val="23482486"/>
    <w:rsid w:val="2381503C"/>
    <w:rsid w:val="23AB52A5"/>
    <w:rsid w:val="2417CAF9"/>
    <w:rsid w:val="24227799"/>
    <w:rsid w:val="2448FD70"/>
    <w:rsid w:val="2528402A"/>
    <w:rsid w:val="2545CC5F"/>
    <w:rsid w:val="26CCFEA2"/>
    <w:rsid w:val="26EBAE63"/>
    <w:rsid w:val="273D18D0"/>
    <w:rsid w:val="27C4E41F"/>
    <w:rsid w:val="28641287"/>
    <w:rsid w:val="28B7FD80"/>
    <w:rsid w:val="2911801C"/>
    <w:rsid w:val="2A8970BA"/>
    <w:rsid w:val="2A9856F6"/>
    <w:rsid w:val="2B7A5812"/>
    <w:rsid w:val="2C809AD0"/>
    <w:rsid w:val="2CBF452C"/>
    <w:rsid w:val="2EA068AB"/>
    <w:rsid w:val="2EA3201B"/>
    <w:rsid w:val="31464B7F"/>
    <w:rsid w:val="3186AFB7"/>
    <w:rsid w:val="31F103F6"/>
    <w:rsid w:val="32352F75"/>
    <w:rsid w:val="329F4F52"/>
    <w:rsid w:val="330133E3"/>
    <w:rsid w:val="333CD8AF"/>
    <w:rsid w:val="34D04698"/>
    <w:rsid w:val="352A5601"/>
    <w:rsid w:val="358C677F"/>
    <w:rsid w:val="35DBDC45"/>
    <w:rsid w:val="368E0170"/>
    <w:rsid w:val="3705E6F1"/>
    <w:rsid w:val="383FDA59"/>
    <w:rsid w:val="38B56B40"/>
    <w:rsid w:val="38F039BF"/>
    <w:rsid w:val="396B8EC4"/>
    <w:rsid w:val="39773882"/>
    <w:rsid w:val="39C56470"/>
    <w:rsid w:val="3A4F72A0"/>
    <w:rsid w:val="3A71F95C"/>
    <w:rsid w:val="3B3F76E2"/>
    <w:rsid w:val="3B59101D"/>
    <w:rsid w:val="3BD99E53"/>
    <w:rsid w:val="3DA9F3A5"/>
    <w:rsid w:val="3E2C9321"/>
    <w:rsid w:val="3FF5B25B"/>
    <w:rsid w:val="408C8D2D"/>
    <w:rsid w:val="4118057C"/>
    <w:rsid w:val="422C1391"/>
    <w:rsid w:val="437CA03D"/>
    <w:rsid w:val="44236764"/>
    <w:rsid w:val="44570E39"/>
    <w:rsid w:val="45209F2E"/>
    <w:rsid w:val="453F533E"/>
    <w:rsid w:val="45A78D5E"/>
    <w:rsid w:val="464851E7"/>
    <w:rsid w:val="46703568"/>
    <w:rsid w:val="46D39223"/>
    <w:rsid w:val="49BC37D3"/>
    <w:rsid w:val="49DF5384"/>
    <w:rsid w:val="49FE6E69"/>
    <w:rsid w:val="4A2FFD7C"/>
    <w:rsid w:val="4AA55599"/>
    <w:rsid w:val="4AAB86E1"/>
    <w:rsid w:val="4B0EB8D3"/>
    <w:rsid w:val="4B3AF484"/>
    <w:rsid w:val="4B607D23"/>
    <w:rsid w:val="4C0A396D"/>
    <w:rsid w:val="4C860421"/>
    <w:rsid w:val="4C9C3DF3"/>
    <w:rsid w:val="4CEB9DA5"/>
    <w:rsid w:val="4D44C379"/>
    <w:rsid w:val="4DFFA0D6"/>
    <w:rsid w:val="4E641DE1"/>
    <w:rsid w:val="4F8AC530"/>
    <w:rsid w:val="516C80EC"/>
    <w:rsid w:val="51B243DF"/>
    <w:rsid w:val="52115E83"/>
    <w:rsid w:val="52DCFAAA"/>
    <w:rsid w:val="53970307"/>
    <w:rsid w:val="53F7BE76"/>
    <w:rsid w:val="5451566A"/>
    <w:rsid w:val="54CBE7B5"/>
    <w:rsid w:val="54ED0216"/>
    <w:rsid w:val="562067DA"/>
    <w:rsid w:val="56706767"/>
    <w:rsid w:val="568DF93C"/>
    <w:rsid w:val="570DCD38"/>
    <w:rsid w:val="57BE1C84"/>
    <w:rsid w:val="587E1CC7"/>
    <w:rsid w:val="59B47DE6"/>
    <w:rsid w:val="5A0ED874"/>
    <w:rsid w:val="5A1BBB3B"/>
    <w:rsid w:val="5A839F7F"/>
    <w:rsid w:val="5B1292B0"/>
    <w:rsid w:val="5D7E6BA4"/>
    <w:rsid w:val="5DC09B08"/>
    <w:rsid w:val="5FB8ECA3"/>
    <w:rsid w:val="5FBEC210"/>
    <w:rsid w:val="5FE91789"/>
    <w:rsid w:val="5FFE8564"/>
    <w:rsid w:val="60526889"/>
    <w:rsid w:val="61108BAD"/>
    <w:rsid w:val="6169F6AE"/>
    <w:rsid w:val="6182D89D"/>
    <w:rsid w:val="61E19ABA"/>
    <w:rsid w:val="635E0A0A"/>
    <w:rsid w:val="63DA15AB"/>
    <w:rsid w:val="63E5091A"/>
    <w:rsid w:val="643A51CD"/>
    <w:rsid w:val="64853110"/>
    <w:rsid w:val="6521D0A7"/>
    <w:rsid w:val="6526E6F0"/>
    <w:rsid w:val="652A7C5A"/>
    <w:rsid w:val="66615402"/>
    <w:rsid w:val="679C031F"/>
    <w:rsid w:val="67B1AAAE"/>
    <w:rsid w:val="68515B08"/>
    <w:rsid w:val="686300B9"/>
    <w:rsid w:val="692AE70A"/>
    <w:rsid w:val="69328246"/>
    <w:rsid w:val="6944BA68"/>
    <w:rsid w:val="6A24A963"/>
    <w:rsid w:val="6A912862"/>
    <w:rsid w:val="6B2A82DD"/>
    <w:rsid w:val="6C918704"/>
    <w:rsid w:val="6CA1E3C7"/>
    <w:rsid w:val="6D094121"/>
    <w:rsid w:val="6D8D271D"/>
    <w:rsid w:val="6E071FA4"/>
    <w:rsid w:val="6E4E3657"/>
    <w:rsid w:val="6EB5D670"/>
    <w:rsid w:val="6F5E58EB"/>
    <w:rsid w:val="6FEB7908"/>
    <w:rsid w:val="70A89160"/>
    <w:rsid w:val="71B36D13"/>
    <w:rsid w:val="71E99E29"/>
    <w:rsid w:val="71ECAB51"/>
    <w:rsid w:val="730E2255"/>
    <w:rsid w:val="733D3563"/>
    <w:rsid w:val="73696F2F"/>
    <w:rsid w:val="7505A363"/>
    <w:rsid w:val="763DF02D"/>
    <w:rsid w:val="76423E64"/>
    <w:rsid w:val="76746024"/>
    <w:rsid w:val="768E9212"/>
    <w:rsid w:val="774DFC90"/>
    <w:rsid w:val="7755C1E9"/>
    <w:rsid w:val="77A0674F"/>
    <w:rsid w:val="77DB031F"/>
    <w:rsid w:val="7811F0D9"/>
    <w:rsid w:val="794D1D73"/>
    <w:rsid w:val="798B29CB"/>
    <w:rsid w:val="79A3BAEA"/>
    <w:rsid w:val="79B70614"/>
    <w:rsid w:val="7B0CB234"/>
    <w:rsid w:val="7B7F8565"/>
    <w:rsid w:val="7CBDAFA0"/>
    <w:rsid w:val="7D40B96C"/>
    <w:rsid w:val="7DAA558F"/>
    <w:rsid w:val="7DD6AE0E"/>
    <w:rsid w:val="7DED56F7"/>
    <w:rsid w:val="7E0420D7"/>
    <w:rsid w:val="7E20B454"/>
    <w:rsid w:val="7E3C2642"/>
    <w:rsid w:val="7EFF16E2"/>
    <w:rsid w:val="7F425358"/>
    <w:rsid w:val="7F8AF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D7FFA21"/>
  <w15:chartTrackingRefBased/>
  <w15:docId w15:val="{929EF648-830F-49EE-B499-EC0EBCC7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W Body Copy"/>
    <w:qFormat/>
    <w:rsid w:val="00600839"/>
    <w:pPr>
      <w:spacing w:after="0" w:line="240" w:lineRule="auto"/>
    </w:pPr>
    <w:rPr>
      <w:color w:val="4D4D4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0839"/>
    <w:rPr>
      <w:color w:val="0000FF"/>
      <w:u w:val="single"/>
    </w:rPr>
  </w:style>
  <w:style w:type="table" w:styleId="TableGrid">
    <w:name w:val="Table Grid"/>
    <w:basedOn w:val="TableNormal"/>
    <w:uiPriority w:val="39"/>
    <w:rsid w:val="0060083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946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46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46B3"/>
    <w:rPr>
      <w:color w:val="4D4D4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46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46B3"/>
    <w:rPr>
      <w:b/>
      <w:bCs/>
      <w:color w:val="4D4D4C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7946B3"/>
    <w:rPr>
      <w:color w:val="2B579A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ui-provider">
    <w:name w:val="ui-provider"/>
    <w:basedOn w:val="DefaultParagraphFont"/>
    <w:rsid w:val="002051C4"/>
  </w:style>
  <w:style w:type="paragraph" w:styleId="ListParagraph">
    <w:name w:val="List Paragraph"/>
    <w:basedOn w:val="Normal"/>
    <w:uiPriority w:val="34"/>
    <w:qFormat/>
    <w:rsid w:val="00DC4FA1"/>
    <w:pPr>
      <w:ind w:left="720"/>
      <w:contextualSpacing/>
    </w:pPr>
  </w:style>
  <w:style w:type="paragraph" w:styleId="Revision">
    <w:name w:val="Revision"/>
    <w:hidden/>
    <w:uiPriority w:val="99"/>
    <w:semiHidden/>
    <w:rsid w:val="00C72CA9"/>
    <w:pPr>
      <w:spacing w:after="0" w:line="240" w:lineRule="auto"/>
    </w:pPr>
    <w:rPr>
      <w:color w:val="4D4D4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langcatfinancial.co.uk/platformanalyse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26B4DEED67E245B4F94CC52038F78F" ma:contentTypeVersion="15" ma:contentTypeDescription="Create a new document." ma:contentTypeScope="" ma:versionID="6dc39f7c1c319fa7edc1cb08b2e2bd1a">
  <xsd:schema xmlns:xsd="http://www.w3.org/2001/XMLSchema" xmlns:xs="http://www.w3.org/2001/XMLSchema" xmlns:p="http://schemas.microsoft.com/office/2006/metadata/properties" xmlns:ns2="0cb11a1f-b97b-47eb-8f3c-3bb28e60ac5d" xmlns:ns3="34f7dabc-ea64-4803-8539-ce7cd623e0fa" targetNamespace="http://schemas.microsoft.com/office/2006/metadata/properties" ma:root="true" ma:fieldsID="fbfadcc6b1c469de57f6768589f19b66" ns2:_="" ns3:_="">
    <xsd:import namespace="0cb11a1f-b97b-47eb-8f3c-3bb28e60ac5d"/>
    <xsd:import namespace="34f7dabc-ea64-4803-8539-ce7cd623e0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11a1f-b97b-47eb-8f3c-3bb28e60ac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ae3159-6449-4f01-9d85-1405fbffbf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7dabc-ea64-4803-8539-ce7cd623e0f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b66961-ea8b-495f-9e1a-67d023e47a38}" ma:internalName="TaxCatchAll" ma:showField="CatchAllData" ma:web="34f7dabc-ea64-4803-8539-ce7cd623e0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f7dabc-ea64-4803-8539-ce7cd623e0fa" xsi:nil="true"/>
    <lcf76f155ced4ddcb4097134ff3c332f xmlns="0cb11a1f-b97b-47eb-8f3c-3bb28e60ac5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BCA266-C125-4EC5-AC11-1A8741E29A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11a1f-b97b-47eb-8f3c-3bb28e60ac5d"/>
    <ds:schemaRef ds:uri="34f7dabc-ea64-4803-8539-ce7cd623e0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22E0DE-50B7-41B5-A23B-5C5D62B02DDC}">
  <ds:schemaRefs>
    <ds:schemaRef ds:uri="http://schemas.microsoft.com/office/2006/metadata/properties"/>
    <ds:schemaRef ds:uri="http://schemas.microsoft.com/office/infopath/2007/PartnerControls"/>
    <ds:schemaRef ds:uri="34f7dabc-ea64-4803-8539-ce7cd623e0fa"/>
    <ds:schemaRef ds:uri="0cb11a1f-b97b-47eb-8f3c-3bb28e60ac5d"/>
  </ds:schemaRefs>
</ds:datastoreItem>
</file>

<file path=customXml/itemProps3.xml><?xml version="1.0" encoding="utf-8"?>
<ds:datastoreItem xmlns:ds="http://schemas.openxmlformats.org/officeDocument/2006/customXml" ds:itemID="{4425F38E-D4F6-43CF-B915-64624B6AE3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Ellis</dc:creator>
  <cp:keywords/>
  <dc:description/>
  <cp:lastModifiedBy>Seán McKinven</cp:lastModifiedBy>
  <cp:revision>3</cp:revision>
  <cp:lastPrinted>2023-05-24T13:30:00Z</cp:lastPrinted>
  <dcterms:created xsi:type="dcterms:W3CDTF">2026-08-12T09:06:00Z</dcterms:created>
  <dcterms:modified xsi:type="dcterms:W3CDTF">2026-08-12T09:46:00Z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0x010100DF26B4DEED67E245B4F94CC52038F78F</vt:lpwstr>
  </property>
  <property fmtid="{D5CDD505-2E9C-101B-9397-08002B2CF9AE}" pid="3" name="MediaServiceImageTags">
    <vt:lpwstr/>
  </property>
</Properties>
</file>